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05D3C">
      <w:pPr>
        <w:pStyle w:val="51"/>
        <w:rPr>
          <w:sz w:val="28"/>
          <w:szCs w:val="28"/>
        </w:rPr>
      </w:pPr>
      <w:r>
        <w:br w:type="page"/>
      </w:r>
      <w:bookmarkStart w:id="0" w:name="SectionMark0"/>
      <w:r>
        <mc:AlternateContent>
          <mc:Choice Requires="wps">
            <w:drawing>
              <wp:anchor distT="0" distB="0" distL="114300" distR="114300" simplePos="0" relativeHeight="251669504" behindDoc="0" locked="1" layoutInCell="1" allowOverlap="1">
                <wp:simplePos x="0" y="0"/>
                <wp:positionH relativeFrom="margin">
                  <wp:posOffset>3928745</wp:posOffset>
                </wp:positionH>
                <wp:positionV relativeFrom="margin">
                  <wp:posOffset>107315</wp:posOffset>
                </wp:positionV>
                <wp:extent cx="1795780" cy="720090"/>
                <wp:effectExtent l="0" t="0" r="0" b="0"/>
                <wp:wrapNone/>
                <wp:docPr id="24" name="文本框 24"/>
                <wp:cNvGraphicFramePr/>
                <a:graphic xmlns:a="http://schemas.openxmlformats.org/drawingml/2006/main">
                  <a:graphicData uri="http://schemas.microsoft.com/office/word/2010/wordprocessingShape">
                    <wps:wsp>
                      <wps:cNvSpPr txBox="1">
                        <a:spLocks noChangeArrowheads="1"/>
                      </wps:cNvSpPr>
                      <wps:spPr bwMode="auto">
                        <a:xfrm>
                          <a:off x="0" y="0"/>
                          <a:ext cx="1795780" cy="720090"/>
                        </a:xfrm>
                        <a:prstGeom prst="rect">
                          <a:avLst/>
                        </a:prstGeom>
                        <a:solidFill>
                          <a:srgbClr val="FFFFFF"/>
                        </a:solidFill>
                        <a:ln>
                          <a:noFill/>
                        </a:ln>
                      </wps:spPr>
                      <wps:txbx>
                        <w:txbxContent>
                          <w:p w14:paraId="1D32B60C">
                            <w:pPr>
                              <w:pStyle w:val="42"/>
                              <w:rPr>
                                <w:spacing w:val="-20"/>
                                <w:w w:val="90"/>
                              </w:rPr>
                            </w:pPr>
                            <w:r>
                              <w:rPr>
                                <w:spacing w:val="-20"/>
                                <w:w w:val="90"/>
                              </w:rPr>
                              <w:t>CBMF</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09.35pt;margin-top:8.45pt;height:56.7pt;width:141.4pt;mso-position-horizontal-relative:margin;mso-position-vertical-relative:margin;z-index:251669504;mso-width-relative:page;mso-height-relative:page;" fillcolor="#FFFFFF" filled="t" stroked="f" coordsize="21600,21600" o:gfxdata="UEsDBAoAAAAAAIdO4kAAAAAAAAAAAAAAAAAEAAAAZHJzL1BLAwQUAAAACACHTuJAxJYbhdgAAAAK&#10;AQAADwAAAGRycy9kb3ducmV2LnhtbE2PwW7CMAyG75P2DpEn7TKNpKB1UJoiDbbbdoAhzqExbbXG&#10;qZqUwtvPO42j/f/6/DlfXVwrztiHxpOGZKJAIJXeNlRp2H9/PM9BhGjImtYTarhigFVxf5ebzPqR&#10;tnjexUowhEJmNNQxdpmUoazRmTDxHRJnJ987E3nsK2l7MzLctXKqVCqdaYgv1KbDdY3lz25wGtJN&#10;P4xbWj9t9u+f5qurpoe360Hrx4dELUFEvMT/MvzpszoU7HT0A9kgWmYk81eucpAuQHBhoZIXEEde&#10;zNQMZJHL2xeKX1BLAwQUAAAACACHTuJA3vtH/SECAAAwBAAADgAAAGRycy9lMm9Eb2MueG1srVPN&#10;jtMwEL4j8Q6W7zRtBXQ3arpaWhUhLT/SwgO4jpNYOB4zdpuUB4A34MSFO8/V52DstGVVLnsgh2hs&#10;z3ye75vP85u+NWyn0GuwBZ+MxpwpK6HUti74p4/rZ1ec+SBsKQxYVfC98vxm8fTJvHO5mkIDplTI&#10;CMT6vHMFb0JweZZ52ahW+BE4ZemwAmxFoCXWWYmiI/TWZNPx+GXWAZYOQSrvaXc1HPIjIj4GEKpK&#10;S7UCuW2VDQMqKiMCUfKNdp4vUrdVpWR4X1VeBWYKTkxD+tMlFG/iP1vMRV6jcI2WxxbEY1q44NQK&#10;benSM9RKBMG2qP+BarVE8FCFkYQ2G4gkRYjFZHyhzX0jnEpcSGrvzqL7/wcr3+0+INNlwafPObOi&#10;pYkffnw//Px9+PWN0R4J1DmfU969o8zQv4KebJPIencH8rNnFpaNsLW6RYSuUaKkBiexMntQOuD4&#10;CLLp3kJJF4ltgATUV9hG9UgPRug0nP15OKoPTMYrZ9cvZld0JOlsRk66TtPLRH6qdujDawUti0HB&#10;kYaf0MXuzofYjchPKfEyD0aXa21MWmC9WRpkO0FGWacvEbhIMzYmW4hlA2LcSTQjs4Fj6Df9UbYN&#10;lHsijDAYj54dBQ3gV846Ml3B/ZetQMWZeWNJtOjQU4CnYHMKhJVUWvDA2RAuw+DkrUNdN4Q8jMXC&#10;LQlb6cQ5TmDo4tgnGSlJcTR9dOrDdcr6+9A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ElhuF&#10;2AAAAAoBAAAPAAAAAAAAAAEAIAAAACIAAABkcnMvZG93bnJldi54bWxQSwECFAAUAAAACACHTuJA&#10;3vtH/SECAAAwBAAADgAAAAAAAAABACAAAAAnAQAAZHJzL2Uyb0RvYy54bWxQSwUGAAAAAAYABgBZ&#10;AQAAugUAAAAA&#10;">
                <v:fill on="t" focussize="0,0"/>
                <v:stroke on="f"/>
                <v:imagedata o:title=""/>
                <o:lock v:ext="edit" aspectratio="f"/>
                <v:textbox inset="0mm,0mm,0mm,0mm">
                  <w:txbxContent>
                    <w:p w14:paraId="1D32B60C">
                      <w:pPr>
                        <w:pStyle w:val="42"/>
                        <w:rPr>
                          <w:spacing w:val="-20"/>
                          <w:w w:val="90"/>
                        </w:rPr>
                      </w:pPr>
                      <w:r>
                        <w:rPr>
                          <w:spacing w:val="-20"/>
                          <w:w w:val="90"/>
                        </w:rPr>
                        <w:t>CBMF</w:t>
                      </w:r>
                    </w:p>
                  </w:txbxContent>
                </v:textbox>
                <w10:anchorlock/>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8888730</wp:posOffset>
                </wp:positionV>
                <wp:extent cx="6121400" cy="0"/>
                <wp:effectExtent l="0" t="0" r="12700" b="0"/>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0pt;margin-top:699.9pt;height:0pt;width:482pt;z-index:251668480;mso-width-relative:page;mso-height-relative:page;" filled="f" stroked="t" coordsize="21600,21600" o:gfxdata="UEsDBAoAAAAAAIdO4kAAAAAAAAAAAAAAAAAEAAAAZHJzL1BLAwQUAAAACACHTuJAi/yUodYAAAAK&#10;AQAADwAAAGRycy9kb3ducmV2LnhtbE2PQU/CQBCF7yb+h82YeDGwRQVs7ZbERi7eQEM8Lt2xrXZn&#10;N90tIL+e4WDwON97efNevjjYTuywD60jBZNxAgKpcqalWsHH+3L0BCJETUZ3jlDBLwZYFNdXuc6M&#10;29MKd+tYCw6hkGkFTYw+kzJUDVodxs4jsfbleqsjn30tTa/3HG47eZ8kM2l1S/yh0R7LBquf9WAV&#10;fN9thqUlX87rt9fjfDqsyk//otTtzSR5BhHxEC9mONfn6lBwp60byATRKeAhkelDmvIC1tPZI6Pt&#10;H5JFLv9PKE5QSwMEFAAAAAgAh07iQNMH4VrkAQAArQMAAA4AAABkcnMvZTJvRG9jLnhtbK1TsY4T&#10;MRDtkfgHyz3ZTUDHaZXNFYmO5oBId3zAxOvNWtgey3ayyU/wA0h0UFHS8zccn8HYmwQu11zBFiOP&#10;Z+bNvDfe6dXOaLaVPii0NR+PSs6kFdgou675h7vrF5echQi2AY1W1nwvA7+aPX827V0lJ9ihbqRn&#10;BGJD1buadzG6qiiC6KSBMEInLQVb9AYiuX5dNB56Qje6mJTlRdGjb5xHIUOg28UQ5AdE/xRAbFsl&#10;5ALFxkgbB1QvNUSiFDrlAp/ladtWivi+bYOMTNecmMZsqQmdV8kWsylUaw+uU+IwAjxlhDNOBpSl&#10;pieoBURgG68eQRklPAZs40igKQYiWRFiMS7PtLntwMnMhaQO7iR6+H+w4t126Zlqaj55yZkFQxu/&#10;//zj16evv39+IXv//RujCMnUu1BR9twufSIqdvbW3aD4GJjFeQd2LfO4d3tHEONUUTwoSU5w1GzV&#10;v8WGcmATMWu2a71JkKQG2+XV7E+rkbvIBF1ejCfjVyVtTRxjBVTHQudDfCPRsHSouVY2qQYVbG9C&#10;TINAdUxJ1xavldZ589qynqadvCboFAqoVZOi2fHr1Vx7toX0eC5L+jKtszSPG9sMXbQ9sE5EB8lW&#10;2OyX/qgGbTGPc3hx6Zn86+fqv3/Z7A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L/JSh1gAAAAoB&#10;AAAPAAAAAAAAAAEAIAAAACIAAABkcnMvZG93bnJldi54bWxQSwECFAAUAAAACACHTuJA0wfhWuQB&#10;AACtAwAADgAAAAAAAAABACAAAAAlAQAAZHJzL2Uyb0RvYy54bWxQSwUGAAAAAAYABgBZAQAAewUA&#10;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2272030</wp:posOffset>
                </wp:positionV>
                <wp:extent cx="6121400" cy="0"/>
                <wp:effectExtent l="0" t="0" r="12700" b="0"/>
                <wp:wrapNone/>
                <wp:docPr id="2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0pt;margin-top:178.9pt;height:0pt;width:482pt;z-index:251667456;mso-width-relative:page;mso-height-relative:page;" filled="f" stroked="t" coordsize="21600,21600" o:gfxdata="UEsDBAoAAAAAAIdO4kAAAAAAAAAAAAAAAAAEAAAAZHJzL1BLAwQUAAAACACHTuJAVCnZOdcAAAAI&#10;AQAADwAAAGRycy9kb3ducmV2LnhtbE2PQU/CQBCF7yb+h82YeDGwRYVK7ZbERi7cQEM8Lt2hrXZn&#10;N90toL+eITHR47z38uZ9+eJkO3HAPrSOFEzGCQikypmWagXvb8vRE4gQNRndOUIF3xhgUVxf5Toz&#10;7khrPGxiLbiEQqYVNDH6TMpQNWh1GDuPxN7e9VZHPvtaml4fudx28j5JZtLqlvhDoz2WDVZfm8Eq&#10;+LzbDktLvkzr1etPOh3W5Yd/Uer2ZpI8g4h4in9huMzn6VDwpp0byATRKWCQqOBhmjIA2/PZIyu7&#10;X0UWufwPUJwBUEsDBBQAAAAIAIdO4kAGkGyS5AEAAK0DAAAOAAAAZHJzL2Uyb0RvYy54bWytU81u&#10;EzEQviPxDpbvZDcrVKpVNj0kKpcCkVoeYOL1Zi1sj2U72eQleAEkbnDiyJ23oX0Mxs4Pbbj0wB5G&#10;Hs/MN/N9451cbY1mG+mDQtvw8ajkTFqBrbKrhn+8u351yVmIYFvQaGXDdzLwq+nLF5PB1bLCHnUr&#10;PSMQG+rBNbyP0dVFEUQvDYQROmkp2KE3EMn1q6L1MBC60UVVlhfFgL51HoUMgW7n+yA/IPrnAGLX&#10;KSHnKNZG2rhH9VJDJEqhVy7waZ6266SIH7ouyMh0w4lpzJaa0HmZbDGdQL3y4HolDiPAc0Y442RA&#10;WWp6gppDBLb26h8oo4THgF0cCTTFnkhWhFiMyzNtbntwMnMhqYM7iR7+H6x4v1l4ptqGVxVnFgxt&#10;/P7Lz9+fvz38+kr2/sd3RhGSaXChpuyZXfhEVGztrbtB8Skwi7Me7Ermce92jiDGqaJ4UpKc4KjZ&#10;cniHLeXAOmLWbNt5kyBJDbbNq9mdViO3kQm6vBhX49clbU0cYwXUx0LnQ3wr0bB0aLhWNqkGNWxu&#10;QkyDQH1MSdcWr5XWefPasoGmrd4QdAoF1KpN0ez41XKmPdtAejyXJX2Z1lmax7Vt9120PbBORPeS&#10;LbHdLfxRDdpiHufw4tIzeezn6r9/2fQ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CnZOdcAAAAI&#10;AQAADwAAAAAAAAABACAAAAAiAAAAZHJzL2Rvd25yZXYueG1sUEsBAhQAFAAAAAgAh07iQAaQbJLk&#10;AQAArQMAAA4AAAAAAAAAAQAgAAAAJgEAAGRycy9lMm9Eb2MueG1sUEsFBgAAAAAGAAYAWQEAAHwF&#10;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0" b="0"/>
                <wp:wrapNone/>
                <wp:docPr id="21"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422B765B">
                            <w:pPr>
                              <w:pStyle w:val="53"/>
                            </w:pPr>
                            <w:r>
                              <w:rPr>
                                <w:rFonts w:hint="eastAsia"/>
                              </w:rPr>
                              <w:t xml:space="preserve">中国建筑材料联合会     </w:t>
                            </w:r>
                            <w:r>
                              <w:rPr>
                                <w:rStyle w:val="43"/>
                                <w:rFonts w:hint="eastAsia"/>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Rq0qMSECAAAwBAAADgAAAGRycy9lMm9Eb2MueG1srVPN&#10;jtMwEL4j8Q6W7zT9kSoUbbpaWhUhLT/SwgM4jpNYOB4zdpuUB4A34MSF+z5Xn4Ox05ZlueyBHKKx&#10;Z+ab+b4ZX10PnWF7hV6DLfhsMuVMWQmVtk3BP33cvnjJmQ/CVsKAVQU/KM+vV8+fXfUuV3NowVQK&#10;GYFYn/eu4G0ILs8yL1vVCT8Bpyw5a8BOBDpik1UoekLvTDafTpdZD1g5BKm8p9vN6OQnRHwKINS1&#10;lmoDctcpG0ZUVEYEouRb7TxfpW7rWsnwvq69CswUnJiG9KciZJfxn62uRN6gcK2WpxbEU1p4xKkT&#10;2lLRC9RGBMF2qP+B6rRE8FCHiYQuG4kkRYjFbPpIm7tWOJW4kNTeXUT3/w9Wvtt/QKargs9nnFnR&#10;0cSPP74ff94ff31jdEcC9c7nFHfnKDIMr2CgtUlkvbsF+dkzC+tW2EbdIELfKlFRgykze5A64vgI&#10;UvZvoaJCYhcgAQ01dlE90oMROg3ncBmOGgKTdLmckUILcknyLZaL+TxNLxP5OduhD68VdCwaBUca&#10;fkIX+1sfiAeFnkNiMQ9GV1ttTDpgU64Nsr2gRdmmL1KnlL/CjI3BFmLa6I43iWZkNnIMQzmcZCuh&#10;OhBhhHHx6NmR0QJ+5aynpSu4/7ITqDgzbyyJFjf0bODZKM+GsJJSCx44G811GDd551A3LSGPY7Fw&#10;Q8LWOnGOExi7OPVJi5R4nZY+burDc4r689B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JVgbr&#10;2AAAAAoBAAAPAAAAAAAAAAEAIAAAACIAAABkcnMvZG93bnJldi54bWxQSwECFAAUAAAACACHTuJA&#10;Rq0qMSECAAAwBAAADgAAAAAAAAABACAAAAAnAQAAZHJzL2Uyb0RvYy54bWxQSwUGAAAAAAYABgBZ&#10;AQAAugUAAAAA&#10;">
                <v:fill on="t" focussize="0,0"/>
                <v:stroke on="f"/>
                <v:imagedata o:title=""/>
                <o:lock v:ext="edit" aspectratio="f"/>
                <v:textbox inset="0mm,0mm,0mm,0mm">
                  <w:txbxContent>
                    <w:p w14:paraId="422B765B">
                      <w:pPr>
                        <w:pStyle w:val="53"/>
                      </w:pPr>
                      <w:r>
                        <w:rPr>
                          <w:rFonts w:hint="eastAsia"/>
                        </w:rPr>
                        <w:t xml:space="preserve">中国建筑材料联合会     </w:t>
                      </w:r>
                      <w:r>
                        <w:rPr>
                          <w:rStyle w:val="43"/>
                          <w:rFonts w:hint="eastAsia"/>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6F27588">
                            <w:pPr>
                              <w:pStyle w:val="54"/>
                            </w:pPr>
                            <w:r>
                              <w:rPr>
                                <w:rFonts w:hint="eastAsia"/>
                              </w:rPr>
                              <w:t>20</w:t>
                            </w:r>
                            <w:r>
                              <w:t>XX</w:t>
                            </w:r>
                            <w:r>
                              <w:rPr>
                                <w:rFonts w:hint="eastAsia"/>
                              </w:rPr>
                              <w:t>-</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CZa+8yHwIAADAEAAAOAAAAZHJzL2Uyb0RvYy54bWyt&#10;U82O0zAQviPxDpbvNG0XIYiarpZWRUjLj7TwAI7jJBaOx4zdJuUB4A047YU7z9XnYOy0ZVUueyCH&#10;aGzPfP6+b8aL66EzbKfQa7AFn02mnCkrodK2KfjnT5tnLznzQdhKGLCq4Hvl+fXy6ZNF73I1hxZM&#10;pZARiPV57wrehuDyLPOyVZ3wE3DK0mEN2IlAS2yyCkVP6J3J5tPpi6wHrByCVN7T7no85EdEfAwg&#10;1LWWag1y2ykbRlRURgSS5FvtPF8mtnWtZPhQ114FZgpOSkP60yUUl/GfLRcib1C4VssjBfEYChea&#10;OqEtXXqGWosg2Bb1P1Cdlgge6jCR0GWjkOQIqZhNL7y5a4VTSQtZ7d3ZdP//YOX73Udkuir4nCyx&#10;oqOOH37+ONz/Pvz6zmiPDOqdzynvzlFmGF7DQGOTxHp3C/KLZxZWrbCNukGEvlWiIoKzWJk9KB1x&#10;fAQp+3dQ0UViGyABDTV20T3ygxE6Mdmfm6OGwCRtkj+vrqZ0JOnsajZ/PpLLRH6qdujDGwUdi0HB&#10;kZqf0MXu1ofIRuSnlHiZB6OrjTYmLbApVwbZTtCgbNKXBFykGRuTLcSyETHuJJlR2agxDOVwtK2E&#10;ak+CEcbBo2dHQQv4jbOehq7g/utWoOLMvLVkGqkLpwBPQXkKhJVUWvDA2RiuwjjJW4e6aQl5bIuF&#10;GzK21klz7MDI4siTBilZcRz6OKkP1ynr70N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arX&#10;2gAAAA0BAAAPAAAAAAAAAAEAIAAAACIAAABkcnMvZG93bnJldi54bWxQSwECFAAUAAAACACHTuJA&#10;mWvvMh8CAAAwBAAADgAAAAAAAAABACAAAAApAQAAZHJzL2Uyb0RvYy54bWxQSwUGAAAAAAYABgBZ&#10;AQAAugUAAAAA&#10;">
                <v:fill on="t" focussize="0,0"/>
                <v:stroke on="f"/>
                <v:imagedata o:title=""/>
                <o:lock v:ext="edit" aspectratio="f"/>
                <v:textbox inset="0mm,0mm,0mm,0mm">
                  <w:txbxContent>
                    <w:p w14:paraId="76F27588">
                      <w:pPr>
                        <w:pStyle w:val="54"/>
                      </w:pPr>
                      <w:r>
                        <w:rPr>
                          <w:rFonts w:hint="eastAsia"/>
                        </w:rPr>
                        <w:t>20</w:t>
                      </w:r>
                      <w:r>
                        <w:t>XX</w:t>
                      </w:r>
                      <w:r>
                        <w:rPr>
                          <w:rFonts w:hint="eastAsia"/>
                        </w:rPr>
                        <w:t>-</w:t>
                      </w:r>
                      <w:r>
                        <w:t>XX</w:t>
                      </w:r>
                      <w:r>
                        <w:rPr>
                          <w:rFonts w:hint="eastAsia"/>
                        </w:rPr>
                        <w:t>-</w:t>
                      </w:r>
                      <w:r>
                        <w:t>XX</w:t>
                      </w:r>
                      <w:r>
                        <w:rPr>
                          <w:rFonts w:hint="eastAsia"/>
                        </w:rPr>
                        <w:t>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19"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BEA7B17">
                            <w:pPr>
                              <w:pStyle w:val="44"/>
                            </w:pPr>
                            <w:r>
                              <w:rPr>
                                <w:rFonts w:hint="eastAsia"/>
                              </w:rPr>
                              <w:t>20</w:t>
                            </w:r>
                            <w:r>
                              <w:t>XX</w:t>
                            </w:r>
                            <w:r>
                              <w:rPr>
                                <w:rFonts w:hint="eastAsia"/>
                              </w:rPr>
                              <w:t>-</w:t>
                            </w:r>
                            <w:r>
                              <w:t>X</w:t>
                            </w:r>
                            <w:r>
                              <w:rPr>
                                <w:rFonts w:hint="eastAsia"/>
                              </w:rPr>
                              <w:t>X-XX发布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9rgh9h8CAAAwBAAADgAAAGRycy9lMm9Eb2MueG1srVPN&#10;jtMwEL4j8Q6W7zRtFyE2arpaWhUhLT/SwgM4jpNYOB4zdpuUB4A34MSFO8/V52DstGVVLnsgh2hs&#10;z3ye75vPi5uhM2yn0GuwBZ9NppwpK6HStin4p4+bZy8580HYShiwquB75fnN8umTRe9yNYcWTKWQ&#10;EYj1ee8K3obg8izzslWd8BNwytJhDdiJQEtssgpFT+idyebT6YusB6wcglTe0+56PORHRHwMINS1&#10;lmoNctspG0ZUVEYEouRb7Txfpm7rWsnwvq69CswUnJiG9KdLKC7jP1suRN6gcK2WxxbEY1q44NQJ&#10;benSM9RaBMG2qP+B6rRE8FCHiYQuG4kkRYjFbHqhzX0rnEpcSGrvzqL7/wcr3+0+INMVOeGaMys6&#10;mvjhx/fDz9+HX98Y7ZFAvfM55d07ygzDKxgoOZH17g7kZ88srFphG3WLCH2rREUNzmJl9qB0xPER&#10;pOzfQkUXiW2ABDTU2EX1SA9G6DSc/Xk4aghM0ibpc301pSNJZ1ez+fN5ml4m8lO1Qx9eK+hYDAqO&#10;NPyELnZ3PsRuRH5KiZd5MLraaGPSAptyZZDtBBllk75E4CLN2JhsIZaNiHEn0YzMRo5hKIejbCVU&#10;eyKMMBqPnh0FLeBXznoyXcH9l61AxZl5Y0m06NBTgKegPAXCSioteOBsDFdhdPLWoW5aQh7HYuGW&#10;hK114hwnMHZx7JOMlKQ4mj469eE6Zf196M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XzbKiNgA&#10;AAAKAQAADwAAAAAAAAABACAAAAAiAAAAZHJzL2Rvd25yZXYueG1sUEsBAhQAFAAAAAgAh07iQPa4&#10;IfYfAgAAMAQAAA4AAAAAAAAAAQAgAAAAJwEAAGRycy9lMm9Eb2MueG1sUEsFBgAAAAAGAAYAWQEA&#10;ALgFAAAAAA==&#10;">
                <v:fill on="t" focussize="0,0"/>
                <v:stroke on="f"/>
                <v:imagedata o:title=""/>
                <o:lock v:ext="edit" aspectratio="f"/>
                <v:textbox inset="0mm,0mm,0mm,0mm">
                  <w:txbxContent>
                    <w:p w14:paraId="1BEA7B17">
                      <w:pPr>
                        <w:pStyle w:val="44"/>
                      </w:pPr>
                      <w:r>
                        <w:rPr>
                          <w:rFonts w:hint="eastAsia"/>
                        </w:rPr>
                        <w:t>20</w:t>
                      </w:r>
                      <w:r>
                        <w:t>XX</w:t>
                      </w:r>
                      <w:r>
                        <w:rPr>
                          <w:rFonts w:hint="eastAsia"/>
                        </w:rPr>
                        <w:t>-</w:t>
                      </w:r>
                      <w:r>
                        <w:t>X</w:t>
                      </w:r>
                      <w:r>
                        <w:rPr>
                          <w:rFonts w:hint="eastAsia"/>
                        </w:rPr>
                        <w:t>X-XX发布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0" r="0" b="0"/>
                <wp:wrapNone/>
                <wp:docPr id="18"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26E6EDB6">
                            <w:pPr>
                              <w:pStyle w:val="19"/>
                              <w:rPr>
                                <w:spacing w:val="40"/>
                                <w:szCs w:val="52"/>
                              </w:rPr>
                            </w:pPr>
                            <w:r>
                              <w:rPr>
                                <w:rFonts w:hint="eastAsia"/>
                                <w:spacing w:val="40"/>
                                <w:szCs w:val="52"/>
                              </w:rPr>
                              <w:t>空气净化材料气味净化性能感官评价方法</w:t>
                            </w:r>
                          </w:p>
                          <w:p w14:paraId="043A1FB6">
                            <w:pPr>
                              <w:pStyle w:val="19"/>
                            </w:pPr>
                            <w:r>
                              <w:rPr>
                                <w:rFonts w:hint="eastAsia" w:ascii="Times New Roman"/>
                                <w:sz w:val="36"/>
                              </w:rPr>
                              <w:t xml:space="preserve">Sensory evaluation method for odor purification performance of materials for air purification </w:t>
                            </w:r>
                          </w:p>
                          <w:p w14:paraId="44DF2C42">
                            <w:pPr>
                              <w:pStyle w:val="49"/>
                            </w:pPr>
                          </w:p>
                          <w:p w14:paraId="57D14578">
                            <w:pPr>
                              <w:pStyle w:val="50"/>
                              <w:rPr>
                                <w:sz w:val="24"/>
                                <w:szCs w:val="24"/>
                              </w:rPr>
                            </w:pPr>
                            <w:r>
                              <w:rPr>
                                <w:rFonts w:hint="eastAsia"/>
                                <w:sz w:val="24"/>
                                <w:szCs w:val="24"/>
                              </w:rPr>
                              <w:t>（</w:t>
                            </w:r>
                            <w:r>
                              <w:rPr>
                                <w:rFonts w:hint="eastAsia"/>
                                <w:sz w:val="24"/>
                                <w:szCs w:val="24"/>
                                <w:lang w:val="en-US" w:eastAsia="zh-CN"/>
                              </w:rPr>
                              <w:t>征求意见稿</w:t>
                            </w:r>
                            <w:r>
                              <w:rPr>
                                <w:rFonts w:hint="eastAsia"/>
                                <w:sz w:val="24"/>
                                <w:szCs w:val="24"/>
                              </w:rPr>
                              <w:t>）</w:t>
                            </w:r>
                          </w:p>
                          <w:p w14:paraId="65627A40">
                            <w:pPr>
                              <w:pStyle w:val="50"/>
                              <w:rPr>
                                <w:rFonts w:hint="default" w:eastAsia="宋体"/>
                                <w:sz w:val="24"/>
                                <w:szCs w:val="24"/>
                                <w:lang w:val="en-US" w:eastAsia="zh-CN"/>
                              </w:rPr>
                            </w:pPr>
                            <w:r>
                              <w:rPr>
                                <w:rFonts w:hint="eastAsia"/>
                                <w:sz w:val="24"/>
                                <w:szCs w:val="24"/>
                              </w:rPr>
                              <w:t>202</w:t>
                            </w:r>
                            <w:r>
                              <w:rPr>
                                <w:rFonts w:hint="eastAsia"/>
                                <w:sz w:val="24"/>
                                <w:szCs w:val="24"/>
                                <w:lang w:val="en-US" w:eastAsia="zh-CN"/>
                              </w:rPr>
                              <w:t>5</w:t>
                            </w:r>
                            <w:r>
                              <w:rPr>
                                <w:rFonts w:hint="eastAsia"/>
                                <w:sz w:val="24"/>
                                <w:szCs w:val="24"/>
                              </w:rPr>
                              <w:t>.</w:t>
                            </w:r>
                            <w:r>
                              <w:rPr>
                                <w:rFonts w:hint="eastAsia"/>
                                <w:sz w:val="24"/>
                                <w:szCs w:val="24"/>
                                <w:lang w:val="en-US" w:eastAsia="zh-CN"/>
                              </w:rPr>
                              <w:t>08</w:t>
                            </w:r>
                          </w:p>
                          <w:p w14:paraId="476FE264">
                            <w:pPr>
                              <w:pStyle w:val="48"/>
                            </w:pPr>
                          </w:p>
                          <w:p w14:paraId="25FE8881">
                            <w:pPr>
                              <w:pStyle w:val="47"/>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e/fHnSICAAAxBAAADgAAAGRycy9lMm9Eb2MueG1srVPN&#10;jtMwEL4j8Q6W7zRpBdVu1HS1tCpCWn6khQdwHCexSDxm7DYpDwBvwGkv3HmuPgdjpy2rctkDOURj&#10;e+bzfN98XtwMXct2Cp0Gk/PpJOVMGQmlNnXOP3/avLjizHlhStGCUTnfK8dvls+fLXqbqRk00JYK&#10;GYEYl/U25433NksSJxvVCTcBqwwdVoCd8LTEOilR9ITetcksTedJD1haBKmco931eMiPiPgUQKgq&#10;LdUa5LZTxo+oqFrhiZJrtHV8GbutKiX9h6pyyrM258TUxz9dQnER/slyIbIahW20PLYgntLCBadO&#10;aEOXnqHWwgu2Rf0PVKclgoPKTyR0yUgkKkIspumFNveNsCpyIamdPYvu/h+sfL/7iEyX5ASauxEd&#10;Tfzw88fh4ffh13dGeyRQb11GefeWMv3wGgZKjmSdvQP5xTEDq0aYWt0iQt8oUVKD01CZPCodcVwA&#10;Kfp3UNJFYushAg0VdkE90oMROg1nfx6OGjyTtPnqen6dpnQk6ezl/Go6m8XxJSI7lVt0/o2CjoUg&#10;50jTj/Bid+d8aEdkp5Rwm4NWlxvdtnGBdbFqke0EOWUTv8jgIq01IdlAKBsRw07kGaiNJP1QDEfd&#10;Cij3xBhhdB69OwoawG+c9eS6nLuvW4GKs/atIdWCRU8BnoLiFAgjqTTnnrMxXPnRyluLum4IeZyL&#10;gVtSttKRcxjB2MWxT3JSlOLo+mDVx+uY9felL/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Fef&#10;cdgAAAAJAQAADwAAAAAAAAABACAAAAAiAAAAZHJzL2Rvd25yZXYueG1sUEsBAhQAFAAAAAgAh07i&#10;QHv3x50iAgAAMQQAAA4AAAAAAAAAAQAgAAAAJwEAAGRycy9lMm9Eb2MueG1sUEsFBgAAAAAGAAYA&#10;WQEAALsFAAAAAA==&#10;">
                <v:fill on="t" focussize="0,0"/>
                <v:stroke on="f"/>
                <v:imagedata o:title=""/>
                <o:lock v:ext="edit" aspectratio="f"/>
                <v:textbox inset="0mm,0mm,0mm,0mm">
                  <w:txbxContent>
                    <w:p w14:paraId="26E6EDB6">
                      <w:pPr>
                        <w:pStyle w:val="19"/>
                        <w:rPr>
                          <w:spacing w:val="40"/>
                          <w:szCs w:val="52"/>
                        </w:rPr>
                      </w:pPr>
                      <w:r>
                        <w:rPr>
                          <w:rFonts w:hint="eastAsia"/>
                          <w:spacing w:val="40"/>
                          <w:szCs w:val="52"/>
                        </w:rPr>
                        <w:t>空气净化材料气味净化性能感官评价方法</w:t>
                      </w:r>
                    </w:p>
                    <w:p w14:paraId="043A1FB6">
                      <w:pPr>
                        <w:pStyle w:val="19"/>
                      </w:pPr>
                      <w:r>
                        <w:rPr>
                          <w:rFonts w:hint="eastAsia" w:ascii="Times New Roman"/>
                          <w:sz w:val="36"/>
                        </w:rPr>
                        <w:t xml:space="preserve">Sensory evaluation method for odor purification performance of materials for air purification </w:t>
                      </w:r>
                    </w:p>
                    <w:p w14:paraId="44DF2C42">
                      <w:pPr>
                        <w:pStyle w:val="49"/>
                      </w:pPr>
                    </w:p>
                    <w:p w14:paraId="57D14578">
                      <w:pPr>
                        <w:pStyle w:val="50"/>
                        <w:rPr>
                          <w:sz w:val="24"/>
                          <w:szCs w:val="24"/>
                        </w:rPr>
                      </w:pPr>
                      <w:r>
                        <w:rPr>
                          <w:rFonts w:hint="eastAsia"/>
                          <w:sz w:val="24"/>
                          <w:szCs w:val="24"/>
                        </w:rPr>
                        <w:t>（</w:t>
                      </w:r>
                      <w:r>
                        <w:rPr>
                          <w:rFonts w:hint="eastAsia"/>
                          <w:sz w:val="24"/>
                          <w:szCs w:val="24"/>
                          <w:lang w:val="en-US" w:eastAsia="zh-CN"/>
                        </w:rPr>
                        <w:t>征求意见稿</w:t>
                      </w:r>
                      <w:r>
                        <w:rPr>
                          <w:rFonts w:hint="eastAsia"/>
                          <w:sz w:val="24"/>
                          <w:szCs w:val="24"/>
                        </w:rPr>
                        <w:t>）</w:t>
                      </w:r>
                    </w:p>
                    <w:p w14:paraId="65627A40">
                      <w:pPr>
                        <w:pStyle w:val="50"/>
                        <w:rPr>
                          <w:rFonts w:hint="default" w:eastAsia="宋体"/>
                          <w:sz w:val="24"/>
                          <w:szCs w:val="24"/>
                          <w:lang w:val="en-US" w:eastAsia="zh-CN"/>
                        </w:rPr>
                      </w:pPr>
                      <w:r>
                        <w:rPr>
                          <w:rFonts w:hint="eastAsia"/>
                          <w:sz w:val="24"/>
                          <w:szCs w:val="24"/>
                        </w:rPr>
                        <w:t>202</w:t>
                      </w:r>
                      <w:r>
                        <w:rPr>
                          <w:rFonts w:hint="eastAsia"/>
                          <w:sz w:val="24"/>
                          <w:szCs w:val="24"/>
                          <w:lang w:val="en-US" w:eastAsia="zh-CN"/>
                        </w:rPr>
                        <w:t>5</w:t>
                      </w:r>
                      <w:r>
                        <w:rPr>
                          <w:rFonts w:hint="eastAsia"/>
                          <w:sz w:val="24"/>
                          <w:szCs w:val="24"/>
                        </w:rPr>
                        <w:t>.</w:t>
                      </w:r>
                      <w:r>
                        <w:rPr>
                          <w:rFonts w:hint="eastAsia"/>
                          <w:sz w:val="24"/>
                          <w:szCs w:val="24"/>
                          <w:lang w:val="en-US" w:eastAsia="zh-CN"/>
                        </w:rPr>
                        <w:t>08</w:t>
                      </w:r>
                    </w:p>
                    <w:p w14:paraId="476FE264">
                      <w:pPr>
                        <w:pStyle w:val="48"/>
                      </w:pPr>
                    </w:p>
                    <w:p w14:paraId="25FE8881">
                      <w:pPr>
                        <w:pStyle w:val="47"/>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6231255" cy="860425"/>
                <wp:effectExtent l="0" t="0" r="0" b="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6231255" cy="860425"/>
                        </a:xfrm>
                        <a:prstGeom prst="rect">
                          <a:avLst/>
                        </a:prstGeom>
                        <a:solidFill>
                          <a:srgbClr val="FFFFFF"/>
                        </a:solidFill>
                        <a:ln>
                          <a:noFill/>
                        </a:ln>
                      </wps:spPr>
                      <wps:txbx>
                        <w:txbxContent>
                          <w:p w14:paraId="6EB4A532">
                            <w:pPr>
                              <w:pStyle w:val="45"/>
                            </w:pPr>
                            <w:r>
                              <w:t xml:space="preserve">T/CBMF </w:t>
                            </w:r>
                            <w:r>
                              <w:rPr>
                                <w:rFonts w:hint="eastAsia"/>
                              </w:rPr>
                              <w:t>XXX—20</w:t>
                            </w:r>
                            <w:r>
                              <w:t>2</w:t>
                            </w:r>
                            <w:r>
                              <w:rPr>
                                <w:rFonts w:hint="eastAsia"/>
                              </w:rPr>
                              <w:t>X</w:t>
                            </w:r>
                          </w:p>
                          <w:p w14:paraId="23326D0C">
                            <w:pPr>
                              <w:pStyle w:val="45"/>
                              <w:jc w:val="center"/>
                            </w:pPr>
                          </w:p>
                          <w:p w14:paraId="608E1ED4">
                            <w:pPr>
                              <w:pStyle w:val="45"/>
                              <w:jc w:val="center"/>
                            </w:pPr>
                          </w:p>
                          <w:p w14:paraId="47419111">
                            <w:pPr>
                              <w:pStyle w:val="46"/>
                            </w:pPr>
                          </w:p>
                          <w:p w14:paraId="39672227">
                            <w:pPr>
                              <w:pStyle w:val="46"/>
                            </w:pPr>
                          </w:p>
                          <w:p w14:paraId="4495F800">
                            <w:pPr>
                              <w:pStyle w:val="45"/>
                            </w:pPr>
                          </w:p>
                          <w:p w14:paraId="4857FCEE">
                            <w:pPr>
                              <w:pStyle w:val="45"/>
                            </w:pPr>
                          </w:p>
                          <w:p w14:paraId="728F03A2">
                            <w:pPr>
                              <w:pStyle w:val="45"/>
                            </w:pPr>
                          </w:p>
                          <w:p w14:paraId="738B617F">
                            <w:pPr>
                              <w:pStyle w:val="45"/>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110.35pt;height:67.75pt;width:490.65pt;mso-position-horizontal-relative:margin;mso-position-vertical-relative:margin;z-index:251662336;mso-width-relative:page;mso-height-relative:page;" fillcolor="#FFFFFF" filled="t" stroked="f" coordsize="21600,21600" o:gfxdata="UEsDBAoAAAAAAIdO4kAAAAAAAAAAAAAAAAAEAAAAZHJzL1BLAwQUAAAACACHTuJAi6HMNtgAAAAI&#10;AQAADwAAAGRycy9kb3ducmV2LnhtbE2PMU/DMBSEdyT+g/WQWFBrxxWhDXEq0cIGQ0vV+TU2SUT8&#10;HNlO0/57zATj6U5335Xri+3Z2fjQOVKQzQUwQ7XTHTUKDp9vsyWwEJE09o6MgqsJsK5ub0ostJto&#10;Z8772LBUQqFABW2MQ8F5qFtjMczdYCh5X85bjEn6hmuPUyq3PZdC5NxiR2mhxcFsWlN/70erIN/6&#10;cdrR5mF7eH3Hj6GRx5frUan7u0w8A4vmEv/C8Iuf0KFKTCc3kg6sV5CORAVSiidgyV4tswWwk4LF&#10;Yy6BVyX/f6D6AVBLAwQUAAAACACHTuJAmSf4hSMCAAAwBAAADgAAAGRycy9lMm9Eb2MueG1srVPN&#10;jtMwEL4j8Q6W7zRtoWUVNV0trYqQlh9p4QEcx0ksEo8Zu02WB4A32BMX7jxXn4Oxk5ZlueyBHKLx&#10;eOab+b4Zry77tmEHhU6DyfhsMuVMGQmFNlXGP33cPbvgzHlhCtGAURm/VY5frp8+WXU2VXOooSkU&#10;MgIxLu1sxmvvbZokTtaqFW4CVhm6LAFb4emIVVKg6Ai9bZL5dLpMOsDCIkjlHHm3wyUfEfExgFCW&#10;WqotyH2rjB9QUTXCEyVXa+v4OnZblkr692XplGdNxompj38qQnYe/sl6JdIKha21HFsQj2nhAadW&#10;aENFz1Bb4QXbo/4HqtUSwUHpJxLaZCASFSEWs+kDbW5qYVXkQlI7exbd/T9Y+e7wAZkuaBNecmZE&#10;SxM/3n0//vh1/PmNkY8E6qxLKe7GUqTvX0FPwZGss9cgPztmYFMLU6krROhqJQpqcBYyk3upA44L&#10;IHn3FgoqJPYeIlBfYhvUIz0YodNwbs/DUb1nkpzL+fPZfLHgTNLdxXL6Yr6IJUR6yrbo/GsFLQtG&#10;xpGGH9HF4dr50I1ITyGhmINGFzvdNPGAVb5pkB0ELcoufiP6X2GNCcEGQtqAGDyRZmA2cPR93o+y&#10;5VDcEmGEYfHo2ZFRA37lrKOly7j7sheoOGveGBItbOjJwJORnwxhJKVm3HM2mBs/bPLeoq5qQh7G&#10;YuCKhC115BwmMHQx9kmLFKUYlz5s6v1zjPrz0N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uh&#10;zDbYAAAACAEAAA8AAAAAAAAAAQAgAAAAIgAAAGRycy9kb3ducmV2LnhtbFBLAQIUABQAAAAIAIdO&#10;4kCZJ/iFIwIAADAEAAAOAAAAAAAAAAEAIAAAACcBAABkcnMvZTJvRG9jLnhtbFBLBQYAAAAABgAG&#10;AFkBAAC8BQAAAAA=&#10;">
                <v:fill on="t" focussize="0,0"/>
                <v:stroke on="f"/>
                <v:imagedata o:title=""/>
                <o:lock v:ext="edit" aspectratio="f"/>
                <v:textbox inset="0mm,0mm,0mm,0mm">
                  <w:txbxContent>
                    <w:p w14:paraId="6EB4A532">
                      <w:pPr>
                        <w:pStyle w:val="45"/>
                      </w:pPr>
                      <w:r>
                        <w:t xml:space="preserve">T/CBMF </w:t>
                      </w:r>
                      <w:r>
                        <w:rPr>
                          <w:rFonts w:hint="eastAsia"/>
                        </w:rPr>
                        <w:t>XXX—20</w:t>
                      </w:r>
                      <w:r>
                        <w:t>2</w:t>
                      </w:r>
                      <w:r>
                        <w:rPr>
                          <w:rFonts w:hint="eastAsia"/>
                        </w:rPr>
                        <w:t>X</w:t>
                      </w:r>
                    </w:p>
                    <w:p w14:paraId="23326D0C">
                      <w:pPr>
                        <w:pStyle w:val="45"/>
                        <w:jc w:val="center"/>
                      </w:pPr>
                    </w:p>
                    <w:p w14:paraId="608E1ED4">
                      <w:pPr>
                        <w:pStyle w:val="45"/>
                        <w:jc w:val="center"/>
                      </w:pPr>
                    </w:p>
                    <w:p w14:paraId="47419111">
                      <w:pPr>
                        <w:pStyle w:val="46"/>
                      </w:pPr>
                    </w:p>
                    <w:p w14:paraId="39672227">
                      <w:pPr>
                        <w:pStyle w:val="46"/>
                      </w:pPr>
                    </w:p>
                    <w:p w14:paraId="4495F800">
                      <w:pPr>
                        <w:pStyle w:val="45"/>
                      </w:pPr>
                    </w:p>
                    <w:p w14:paraId="4857FCEE">
                      <w:pPr>
                        <w:pStyle w:val="45"/>
                      </w:pPr>
                    </w:p>
                    <w:p w14:paraId="728F03A2">
                      <w:pPr>
                        <w:pStyle w:val="45"/>
                      </w:pPr>
                    </w:p>
                    <w:p w14:paraId="738B617F">
                      <w:pPr>
                        <w:pStyle w:val="45"/>
                      </w:pP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-319405</wp:posOffset>
                </wp:positionH>
                <wp:positionV relativeFrom="margin">
                  <wp:posOffset>1010920</wp:posOffset>
                </wp:positionV>
                <wp:extent cx="7124700" cy="391160"/>
                <wp:effectExtent l="0" t="0" r="0" b="0"/>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7124700" cy="391160"/>
                        </a:xfrm>
                        <a:prstGeom prst="rect">
                          <a:avLst/>
                        </a:prstGeom>
                        <a:solidFill>
                          <a:srgbClr val="FFFFFF"/>
                        </a:solidFill>
                        <a:ln>
                          <a:noFill/>
                        </a:ln>
                      </wps:spPr>
                      <wps:txbx>
                        <w:txbxContent>
                          <w:p w14:paraId="35CDA2C8">
                            <w:pPr>
                              <w:pStyle w:val="52"/>
                              <w:jc w:val="center"/>
                              <w:rPr>
                                <w:spacing w:val="216"/>
                              </w:rPr>
                            </w:pPr>
                            <w:r>
                              <w:rPr>
                                <w:rFonts w:hint="eastAsia"/>
                                <w:spacing w:val="260"/>
                                <w:kern w:val="0"/>
                                <w:szCs w:val="52"/>
                                <w:fitText w:val="9880" w:id="1"/>
                              </w:rPr>
                              <w:t>中国建筑材料</w:t>
                            </w:r>
                            <w:r>
                              <w:rPr>
                                <w:spacing w:val="260"/>
                                <w:kern w:val="0"/>
                                <w:szCs w:val="52"/>
                                <w:fitText w:val="9880" w:id="1"/>
                              </w:rPr>
                              <w:t>协会</w:t>
                            </w:r>
                            <w:r>
                              <w:rPr>
                                <w:rFonts w:hint="eastAsia"/>
                                <w:spacing w:val="260"/>
                                <w:kern w:val="0"/>
                                <w:szCs w:val="52"/>
                                <w:fitText w:val="9880" w:id="1"/>
                              </w:rPr>
                              <w:t>标</w:t>
                            </w:r>
                            <w:r>
                              <w:rPr>
                                <w:rFonts w:hint="eastAsia"/>
                                <w:spacing w:val="0"/>
                                <w:kern w:val="0"/>
                                <w:szCs w:val="52"/>
                                <w:fitText w:val="9880" w:id="1"/>
                              </w:rPr>
                              <w:t>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5.15pt;margin-top:79.6pt;height:30.8pt;width:561pt;mso-position-horizontal-relative:margin;mso-position-vertical-relative:margin;z-index:251661312;mso-width-relative:page;mso-height-relative:page;" fillcolor="#FFFFFF" filled="t" stroked="f" coordsize="21600,21600" o:gfxdata="UEsDBAoAAAAAAIdO4kAAAAAAAAAAAAAAAAAEAAAAZHJzL1BLAwQUAAAACACHTuJAhr1av9oAAAAM&#10;AQAADwAAAGRycy9kb3ducmV2LnhtbE2Py07DMBBF90j8gzVIbFBrx6gPQpxKtLCDRUvVtRsPSUQ8&#10;jmynaf8ed0WXo3t075lidbYdO6EPrSMF2VQAQ6qcaalWsP/+mCyBhajJ6M4RKrhggFV5f1fo3LiR&#10;tnjaxZqlEgq5VtDE2Oech6pBq8PU9Ugp+3He6phOX3Pj9ZjKbcelEHNudUtpodE9rhusfneDVTDf&#10;+GHc0vpps3//1F99LQ9vl4NSjw+ZeAUW8Rz/YbjqJ3Uok9PRDWQC6xRMZuI5oSmYvUhgV0IssgWw&#10;owIpxRJ4WfDbJ8o/UEsDBBQAAAAIAIdO4kBK/gBVIQIAADAEAAAOAAAAZHJzL2Uyb0RvYy54bWyt&#10;U82O0zAQviPxDpbvNE1BXYiarpZWRUjLj7TwAI7jJBaJx4zdJuUB4A32xIU7z9XnYOy0ZVUueyCH&#10;aGzPfJ7vm8+L66Fr2U6h02Bynk6mnCkjodSmzvnnT5tnLzlzXphStGBUzvfK8evl0yeL3mZqBg20&#10;pUJGIMZlvc15473NksTJRnXCTcAqQ4cVYCc8LbFOShQ9oXdtMptO50kPWFoEqZyj3fV4yI+I+BhA&#10;qCot1RrktlPGj6ioWuGJkmu0dXwZu60qJf2HqnLKszbnxNTHP11CcRH+yXIhshqFbbQ8tiAe08IF&#10;p05oQ5eeodbCC7ZF/Q9UpyWCg8pPJHTJSCQqQizS6YU2d42wKnIhqZ09i+7+H6x8v/uITJfkhDln&#10;RnQ08cP9j8PP34df3xntkUC9dRnl3VnK9MNrGCg5knX2FuQXxwysGmFqdYMIfaNESQ2moTJ5UDri&#10;uABS9O+gpIvE1kMEGirsgnqkByN0Gs7+PBw1eCZp8yqdvbia0pGks+ev0nQep5eI7FRt0fk3CjoW&#10;gpwjDT+ii92t86EbkZ1SwmUOWl1udNvGBdbFqkW2E2SUTfwigYu01oRkA6FsRAw7kWZgNnL0QzEc&#10;ZSug3BNhhNF49OwoaAC/cdaT6XLuvm4FKs7at4ZECw49BXgKilMgjKTSnHvOxnDlRydvLeq6IeRx&#10;LAZuSNhKR85hAmMXxz7JSFGKo+mDUx+uY9bfh778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a9&#10;Wr/aAAAADAEAAA8AAAAAAAAAAQAgAAAAIgAAAGRycy9kb3ducmV2LnhtbFBLAQIUABQAAAAIAIdO&#10;4kBK/gBVIQIAADAEAAAOAAAAAAAAAAEAIAAAACkBAABkcnMvZTJvRG9jLnhtbFBLBQYAAAAABgAG&#10;AFkBAAC8BQAAAAA=&#10;">
                <v:fill on="t" focussize="0,0"/>
                <v:stroke on="f"/>
                <v:imagedata o:title=""/>
                <o:lock v:ext="edit" aspectratio="f"/>
                <v:textbox inset="0mm,0mm,0mm,0mm">
                  <w:txbxContent>
                    <w:p w14:paraId="35CDA2C8">
                      <w:pPr>
                        <w:pStyle w:val="52"/>
                        <w:jc w:val="center"/>
                        <w:rPr>
                          <w:spacing w:val="216"/>
                        </w:rPr>
                      </w:pPr>
                      <w:r>
                        <w:rPr>
                          <w:rFonts w:hint="eastAsia"/>
                          <w:spacing w:val="260"/>
                          <w:kern w:val="0"/>
                          <w:szCs w:val="52"/>
                          <w:fitText w:val="9880" w:id="1"/>
                        </w:rPr>
                        <w:t>中国建筑材料</w:t>
                      </w:r>
                      <w:r>
                        <w:rPr>
                          <w:spacing w:val="260"/>
                          <w:kern w:val="0"/>
                          <w:szCs w:val="52"/>
                          <w:fitText w:val="9880" w:id="1"/>
                        </w:rPr>
                        <w:t>协会</w:t>
                      </w:r>
                      <w:r>
                        <w:rPr>
                          <w:rFonts w:hint="eastAsia"/>
                          <w:spacing w:val="260"/>
                          <w:kern w:val="0"/>
                          <w:szCs w:val="52"/>
                          <w:fitText w:val="9880" w:id="1"/>
                        </w:rPr>
                        <w:t>标</w:t>
                      </w:r>
                      <w:r>
                        <w:rPr>
                          <w:rFonts w:hint="eastAsia"/>
                          <w:spacing w:val="0"/>
                          <w:kern w:val="0"/>
                          <w:szCs w:val="52"/>
                          <w:fitText w:val="9880" w:id="1"/>
                        </w:rPr>
                        <w:t>准</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leftMargin">
                  <wp:posOffset>900430</wp:posOffset>
                </wp:positionH>
                <wp:positionV relativeFrom="topMargin">
                  <wp:posOffset>360045</wp:posOffset>
                </wp:positionV>
                <wp:extent cx="2540000" cy="657860"/>
                <wp:effectExtent l="0" t="0" r="0" b="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432D2732">
                            <w:pPr>
                              <w:pStyle w:val="55"/>
                            </w:pPr>
                            <w:r>
                              <w:rPr>
                                <w:rFonts w:hint="eastAsia"/>
                              </w:rPr>
                              <w:t xml:space="preserve">ICS </w:t>
                            </w:r>
                            <w:r>
                              <w:t>13.040.01</w:t>
                            </w:r>
                          </w:p>
                          <w:p w14:paraId="36457D3C">
                            <w:pPr>
                              <w:pStyle w:val="55"/>
                            </w:pPr>
                            <w:r>
                              <w:t xml:space="preserve">CCS </w:t>
                            </w:r>
                            <w:r>
                              <w:rPr>
                                <w:rFonts w:hint="eastAsia"/>
                              </w:rPr>
                              <w:t xml:space="preserve">Q </w:t>
                            </w:r>
                            <w:r>
                              <w:t>10</w:t>
                            </w:r>
                          </w:p>
                          <w:p w14:paraId="22E238FF">
                            <w:pPr>
                              <w:pStyle w:val="55"/>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70.9pt;margin-top:28.35pt;height:51.8pt;width:200pt;mso-position-horizontal-relative:page;mso-position-vertical-relative:page;z-index:251660288;mso-width-relative:page;mso-height-relative:page;" fillcolor="#FFFFFF" filled="t" stroked="f" coordsize="21600,21600" o:gfxdata="UEsDBAoAAAAAAIdO4kAAAAAAAAAAAAAAAAAEAAAAZHJzL1BLAwQUAAAACACHTuJAOwufZtcAAAAK&#10;AQAADwAAAGRycy9kb3ducmV2LnhtbE2PwU7DMBBE70j8g7VIXBC1U2hAIU4lWrjBoaXq2Y2XJCJe&#10;R7bTtH/PwgWOszOafVMuT64XRwyx86QhmykQSLW3HTUadh+vt48gYjJkTe8JNZwxwrK6vChNYf1E&#10;GzxuUyO4hGJhNLQpDYWUsW7RmTjzAxJ7nz44k1iGRtpgJi53vZwrlUtnOuIPrRlw1WL9tR2dhnwd&#10;xmlDq5v17uXNvA/NfP983mt9fZWpJxAJT+kvDD/4jA4VMx38SDaKnvV9xuhJwyJ/AMGBxe/hwE6u&#10;7kBWpfw/ofoGUEsDBBQAAAAIAIdO4kC4plm3IAIAADAEAAAOAAAAZHJzL2Uyb0RvYy54bWytU82O&#10;0zAQviPxDpbvNO2KllXUdLW0KkJafqSFB3AdJ7FwPGbsNikPAG/AaS/cea4+B2OnLaty2QM5RGN7&#10;5vN833ye3/StYTuFXoMt+GQ05kxZCaW2dcE/f1q/uObMB2FLYcCqgu+V5zeL58/mncvVFTRgSoWM&#10;QKzPO1fwJgSXZ5mXjWqFH4FTlg4rwFYEWmKdlSg6Qm9NdjUez7IOsHQIUnlPu6vhkB8R8SmAUFVa&#10;qhXIbatsGFBRGRGIkm+083yRuq0qJcOHqvIqMFNwYhrSny6heBP/2WIu8hqFa7Q8tiCe0sIFp1Zo&#10;S5eeoVYiCLZF/Q9UqyWChyqMJLTZQCQpQiwm4wtt7hvhVOJCUnt3Ft3/P1j5fvcRmS7JCVPOrGhp&#10;4oefPw4Pvw+/vjPaI4E653PKu3eUGfrX0FNyIuvdHcgvnllYNsLW6hYRukaJkhqcxMrsUemA4yPI&#10;pnsHJV0ktgESUF9hG9UjPRih03D25+GoPjBJm1fTl2P6OJN0Npu+up6l6WUiP1U79OGNgpbFoOBI&#10;w0/oYnfnQ+xG5KeUeJkHo8u1NiYtsN4sDbKdIKOs05cIXKQZG5MtxLIBMe4kmpHZwDH0m/4o2wbK&#10;PRFGGIxHz46CBvAbZx2ZruD+61ag4sy8tSRadOgpwFOwOQXCSioteOBsCJdhcPLWoa4bQh7GYuGW&#10;hK104hwnMHRx7JOMlKQ4mj469fE6Zf196I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wufZtcA&#10;AAAKAQAADwAAAAAAAAABACAAAAAiAAAAZHJzL2Rvd25yZXYueG1sUEsBAhQAFAAAAAgAh07iQLim&#10;WbcgAgAAMAQAAA4AAAAAAAAAAQAgAAAAJgEAAGRycy9lMm9Eb2MueG1sUEsFBgAAAAAGAAYAWQEA&#10;ALgFAAAAAA==&#10;">
                <v:fill on="t" focussize="0,0"/>
                <v:stroke on="f"/>
                <v:imagedata o:title=""/>
                <o:lock v:ext="edit" aspectratio="f"/>
                <v:textbox inset="0mm,0mm,0mm,0mm">
                  <w:txbxContent>
                    <w:p w14:paraId="432D2732">
                      <w:pPr>
                        <w:pStyle w:val="55"/>
                      </w:pPr>
                      <w:r>
                        <w:rPr>
                          <w:rFonts w:hint="eastAsia"/>
                        </w:rPr>
                        <w:t xml:space="preserve">ICS </w:t>
                      </w:r>
                      <w:r>
                        <w:t>13.040.01</w:t>
                      </w:r>
                    </w:p>
                    <w:p w14:paraId="36457D3C">
                      <w:pPr>
                        <w:pStyle w:val="55"/>
                      </w:pPr>
                      <w:r>
                        <w:t xml:space="preserve">CCS </w:t>
                      </w:r>
                      <w:r>
                        <w:rPr>
                          <w:rFonts w:hint="eastAsia"/>
                        </w:rPr>
                        <w:t xml:space="preserve">Q </w:t>
                      </w:r>
                      <w:r>
                        <w:t>10</w:t>
                      </w:r>
                    </w:p>
                    <w:p w14:paraId="22E238FF">
                      <w:pPr>
                        <w:pStyle w:val="55"/>
                      </w:pPr>
                    </w:p>
                  </w:txbxContent>
                </v:textbox>
                <w10:anchorlock/>
              </v:shape>
            </w:pict>
          </mc:Fallback>
        </mc:AlternateContent>
      </w:r>
      <w:bookmarkEnd w:id="0"/>
    </w:p>
    <w:sdt>
      <w:sdtPr>
        <w:rPr>
          <w:rFonts w:asciiTheme="minorHAnsi" w:hAnsiTheme="minorHAnsi" w:eastAsiaTheme="minorEastAsia" w:cstheme="minorBidi"/>
          <w:kern w:val="2"/>
          <w:szCs w:val="22"/>
          <w:lang w:val="zh-CN"/>
        </w:rPr>
        <w:id w:val="-1871754626"/>
        <w:docPartObj>
          <w:docPartGallery w:val="Table of Contents"/>
          <w:docPartUnique/>
        </w:docPartObj>
      </w:sdtPr>
      <w:sdtEndPr>
        <w:rPr>
          <w:rFonts w:asciiTheme="minorHAnsi" w:hAnsiTheme="minorHAnsi" w:eastAsiaTheme="minorEastAsia" w:cstheme="minorBidi"/>
          <w:b/>
          <w:bCs/>
          <w:kern w:val="2"/>
          <w:szCs w:val="22"/>
          <w:lang w:val="zh-CN"/>
        </w:rPr>
      </w:sdtEndPr>
      <w:sdtContent>
        <w:p w14:paraId="76D56AC2">
          <w:pPr>
            <w:pStyle w:val="26"/>
            <w:ind w:firstLine="0" w:firstLineChars="0"/>
            <w:rPr>
              <w:rFonts w:ascii="黑体" w:hAnsi="黑体" w:eastAsia="黑体"/>
              <w:sz w:val="32"/>
              <w:szCs w:val="32"/>
            </w:rPr>
          </w:pPr>
          <w:r>
            <w:rPr>
              <w:rFonts w:hint="eastAsia" w:ascii="黑体" w:hAnsi="黑体" w:eastAsia="黑体"/>
              <w:sz w:val="32"/>
              <w:szCs w:val="32"/>
            </w:rPr>
            <w:t>版权保护文件</w:t>
          </w:r>
        </w:p>
        <w:p w14:paraId="746D9BDE">
          <w:pPr>
            <w:pStyle w:val="26"/>
            <w:ind w:firstLine="420"/>
          </w:pPr>
        </w:p>
        <w:p w14:paraId="2C019C8B">
          <w:pPr>
            <w:widowControl/>
            <w:tabs>
              <w:tab w:val="center" w:pos="4201"/>
              <w:tab w:val="right" w:leader="dot" w:pos="9298"/>
            </w:tabs>
            <w:autoSpaceDE w:val="0"/>
            <w:autoSpaceDN w:val="0"/>
            <w:ind w:firstLine="643" w:firstLineChars="200"/>
            <w:rPr>
              <w:rFonts w:ascii="黑体" w:hAnsi="黑体" w:eastAsia="黑体" w:cs="Times New Roman"/>
              <w:b/>
              <w:kern w:val="0"/>
              <w:sz w:val="32"/>
              <w:szCs w:val="32"/>
            </w:rPr>
          </w:pPr>
          <w:r>
            <w:rPr>
              <w:rFonts w:hint="eastAsia" w:ascii="黑体" w:hAnsi="黑体" w:eastAsia="黑体" w:cs="Times New Roman"/>
              <w:b/>
              <w:kern w:val="0"/>
              <w:sz w:val="32"/>
              <w:szCs w:val="32"/>
            </w:rPr>
            <w:t>本标准适用于空气净化材料气味净化性能的检测。请注意本标准的某些内容可能涉及专利。本标准发布机构不承担识别这些专利的责任。本标准版权所有归属于该标准的发布机构。除非有其他规定，否则未得许可，此发行物及其中章节不得以其他形式或任何手段进行生产和使用，包括电子版、影印件，或发布在互联网及内部网络等。使用许可可于发布机构获取。</w:t>
          </w:r>
        </w:p>
        <w:p w14:paraId="54DF54F0">
          <w:pPr>
            <w:widowControl/>
            <w:jc w:val="left"/>
            <w:rPr>
              <w:lang w:val="zh-CN"/>
            </w:rPr>
          </w:pPr>
          <w:r>
            <w:rPr>
              <w:lang w:val="zh-CN"/>
            </w:rPr>
            <w:br w:type="page"/>
          </w:r>
        </w:p>
        <w:p w14:paraId="16CA703A">
          <w:pPr>
            <w:pStyle w:val="64"/>
            <w:tabs>
              <w:tab w:val="center" w:pos="4677"/>
              <w:tab w:val="left" w:pos="8398"/>
            </w:tabs>
            <w:spacing w:before="640" w:after="560" w:line="560" w:lineRule="exact"/>
            <w:jc w:val="center"/>
            <w:rPr>
              <w:rFonts w:ascii="黑体" w:hAnsi="Times New Roman" w:eastAsia="黑体" w:cs="Times New Roman"/>
              <w:color w:val="auto"/>
              <w:szCs w:val="20"/>
            </w:rPr>
          </w:pPr>
          <w:r>
            <w:rPr>
              <w:rFonts w:ascii="黑体" w:hAnsi="Times New Roman" w:eastAsia="黑体" w:cs="Times New Roman"/>
              <w:color w:val="auto"/>
              <w:szCs w:val="20"/>
            </w:rPr>
            <w:t>目</w:t>
          </w:r>
          <w:r>
            <w:rPr>
              <w:rFonts w:hint="eastAsia" w:ascii="黑体" w:hAnsi="Times New Roman" w:eastAsia="黑体" w:cs="Times New Roman"/>
              <w:color w:val="auto"/>
              <w:szCs w:val="20"/>
            </w:rPr>
            <w:t xml:space="preserve"> </w:t>
          </w:r>
          <w:r>
            <w:rPr>
              <w:rFonts w:ascii="黑体" w:hAnsi="Times New Roman" w:eastAsia="黑体" w:cs="Times New Roman"/>
              <w:color w:val="auto"/>
              <w:szCs w:val="20"/>
            </w:rPr>
            <w:t xml:space="preserve"> </w:t>
          </w:r>
          <w:r>
            <w:rPr>
              <w:rFonts w:hint="eastAsia" w:ascii="黑体" w:hAnsi="Times New Roman" w:eastAsia="黑体" w:cs="Times New Roman"/>
              <w:color w:val="auto"/>
              <w:szCs w:val="20"/>
            </w:rPr>
            <w:t>次</w:t>
          </w:r>
        </w:p>
        <w:p w14:paraId="6F403044">
          <w:pPr>
            <w:pStyle w:val="9"/>
            <w:tabs>
              <w:tab w:val="right" w:leader="dot" w:pos="9344"/>
            </w:tabs>
            <w:spacing w:before="78" w:beforeLines="25" w:after="78" w:afterLines="25"/>
            <w:rPr>
              <w:rFonts w:ascii="Times New Roman" w:hAnsi="Times New Roman" w:cs="Times New Roman"/>
            </w:rPr>
          </w:pPr>
          <w:r>
            <w:fldChar w:fldCharType="begin"/>
          </w:r>
          <w:r>
            <w:instrText xml:space="preserve"> TOC \o "1-3" \h \z \u </w:instrText>
          </w:r>
          <w:r>
            <w:fldChar w:fldCharType="separate"/>
          </w:r>
          <w:r>
            <w:fldChar w:fldCharType="begin"/>
          </w:r>
          <w:r>
            <w:instrText xml:space="preserve"> HYPERLINK \l "_Toc7571" </w:instrText>
          </w:r>
          <w:r>
            <w:fldChar w:fldCharType="separate"/>
          </w:r>
          <w:r>
            <w:rPr>
              <w:rFonts w:ascii="Times New Roman" w:hAnsi="Times New Roman" w:cs="Times New Roman"/>
            </w:rPr>
            <w:t>前  言</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_Toc7571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0C88A0AF">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"_Toc24482" </w:instrText>
          </w:r>
          <w:r>
            <w:fldChar w:fldCharType="separate"/>
          </w:r>
          <w:r>
            <w:rPr>
              <w:rFonts w:ascii="Times New Roman" w:hAnsi="Times New Roman" w:cs="Times New Roman"/>
            </w:rPr>
            <w:t>1 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_Toc24482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70891657">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"_Toc6718" </w:instrText>
          </w:r>
          <w:r>
            <w:fldChar w:fldCharType="separate"/>
          </w:r>
          <w:r>
            <w:rPr>
              <w:rFonts w:ascii="Times New Roman" w:hAnsi="Times New Roman" w:cs="Times New Roman"/>
            </w:rPr>
            <w:t>2 规范性引用文件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_Toc6718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562AED5B">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"_Toc1409" </w:instrText>
          </w:r>
          <w:r>
            <w:fldChar w:fldCharType="separate"/>
          </w:r>
          <w:r>
            <w:rPr>
              <w:rFonts w:ascii="Times New Roman" w:hAnsi="Times New Roman" w:cs="Times New Roman"/>
            </w:rPr>
            <w:t>3 术语和定义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_Toc1409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47E0AFAC">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"_Toc25763" </w:instrText>
          </w:r>
          <w:r>
            <w:fldChar w:fldCharType="separate"/>
          </w:r>
          <w:r>
            <w:rPr>
              <w:rFonts w:ascii="Times New Roman" w:hAnsi="Times New Roman" w:cs="Times New Roman"/>
            </w:rPr>
            <w:t>4 气味净化性能等级</w:t>
          </w:r>
          <w:r>
            <w:rPr>
              <w:rFonts w:hint="eastAsia" w:ascii="Times New Roman" w:hAnsi="Times New Roman" w:cs="Times New Roman"/>
            </w:rPr>
            <w:t>划分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_Toc25763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11C03DBE">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"_Toc10371" </w:instrText>
          </w:r>
          <w:r>
            <w:fldChar w:fldCharType="separate"/>
          </w:r>
          <w:r>
            <w:rPr>
              <w:rFonts w:ascii="Times New Roman" w:hAnsi="Times New Roman" w:cs="Times New Roman"/>
            </w:rPr>
            <w:t>5 材料和设备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_Toc10371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170D56DA">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"_Toc32330" </w:instrText>
          </w:r>
          <w:r>
            <w:fldChar w:fldCharType="separate"/>
          </w:r>
          <w:r>
            <w:rPr>
              <w:rFonts w:ascii="Times New Roman" w:hAnsi="Times New Roman" w:cs="Times New Roman"/>
            </w:rPr>
            <w:t>6 气味评价实验室要求</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_Toc32330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75C99ED7">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"_Toc26224" </w:instrText>
          </w:r>
          <w:r>
            <w:fldChar w:fldCharType="separate"/>
          </w:r>
          <w:r>
            <w:rPr>
              <w:rFonts w:ascii="Times New Roman" w:hAnsi="Times New Roman" w:cs="Times New Roman"/>
            </w:rPr>
            <w:t>7 气味评价小组要求</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_Toc26224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52DFA068">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"_Toc458" </w:instrText>
          </w:r>
          <w:r>
            <w:fldChar w:fldCharType="separate"/>
          </w:r>
          <w:r>
            <w:rPr>
              <w:rFonts w:ascii="Times New Roman" w:hAnsi="Times New Roman" w:cs="Times New Roman"/>
            </w:rPr>
            <w:t>8 试验方法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_Toc458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68198AD3">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"_Toc20397" </w:instrText>
          </w:r>
          <w:r>
            <w:fldChar w:fldCharType="separate"/>
          </w:r>
          <w:r>
            <w:rPr>
              <w:rFonts w:ascii="Times New Roman" w:hAnsi="Times New Roman" w:cs="Times New Roman"/>
            </w:rPr>
            <w:t>9 试验报告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_Toc20397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36EFA0B6">
          <w:pPr>
            <w:pStyle w:val="9"/>
            <w:tabs>
              <w:tab w:val="right" w:leader="dot" w:pos="9344"/>
            </w:tabs>
            <w:spacing w:before="78" w:beforeLines="25" w:after="78" w:afterLines="25"/>
            <w:rPr>
              <w:rFonts w:ascii="Times New Roman" w:hAnsi="Times New Roman" w:cs="Times New Roman"/>
            </w:rPr>
          </w:pPr>
          <w:r>
            <w:fldChar w:fldCharType="begin"/>
          </w:r>
          <w:r>
            <w:instrText xml:space="preserve"> HYPERLINK \l "_Toc23331" </w:instrText>
          </w:r>
          <w:r>
            <w:fldChar w:fldCharType="separate"/>
          </w:r>
          <w:r>
            <w:rPr>
              <w:rFonts w:ascii="Times New Roman" w:hAnsi="Times New Roman" w:cs="Times New Roman"/>
            </w:rPr>
            <w:t>附录A</w:t>
          </w:r>
          <w:r>
            <w:rPr>
              <w:rFonts w:hint="eastAsia" w:ascii="Times New Roman" w:hAnsi="Times New Roman" w:cs="Times New Roman"/>
            </w:rPr>
            <w:t>（</w:t>
          </w:r>
          <w:r>
            <w:rPr>
              <w:rFonts w:ascii="Times New Roman" w:hAnsi="Times New Roman" w:cs="Times New Roman"/>
            </w:rPr>
            <w:t>规范性</w:t>
          </w:r>
          <w:r>
            <w:rPr>
              <w:rFonts w:hint="eastAsia" w:ascii="Times New Roman" w:hAnsi="Times New Roman" w:cs="Times New Roman"/>
            </w:rPr>
            <w:t>）</w:t>
          </w:r>
          <w:r>
            <w:rPr>
              <w:rFonts w:ascii="Times New Roman" w:hAnsi="Times New Roman" w:cs="Times New Roman"/>
            </w:rPr>
            <w:t>试样制备方法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_Toc23331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21F53AB7">
          <w:pPr>
            <w:pStyle w:val="9"/>
            <w:tabs>
              <w:tab w:val="right" w:leader="dot" w:pos="9344"/>
            </w:tabs>
            <w:spacing w:before="78" w:beforeLines="25" w:after="78" w:afterLines="25"/>
          </w:pPr>
          <w:r>
            <w:fldChar w:fldCharType="begin"/>
          </w:r>
          <w:r>
            <w:instrText xml:space="preserve"> HYPERLINK \l "_Toc6804" </w:instrText>
          </w:r>
          <w:r>
            <w:fldChar w:fldCharType="separate"/>
          </w:r>
          <w:r>
            <w:rPr>
              <w:rFonts w:ascii="Times New Roman" w:hAnsi="Times New Roman" w:cs="Times New Roman"/>
            </w:rPr>
            <w:t>附录B</w:t>
          </w:r>
          <w:r>
            <w:rPr>
              <w:rFonts w:hint="eastAsia" w:ascii="Times New Roman" w:hAnsi="Times New Roman" w:cs="Times New Roman"/>
            </w:rPr>
            <w:t>（</w:t>
          </w:r>
          <w:r>
            <w:rPr>
              <w:rFonts w:ascii="Times New Roman" w:hAnsi="Times New Roman" w:cs="Times New Roman"/>
            </w:rPr>
            <w:t>规范性</w:t>
          </w:r>
          <w:r>
            <w:rPr>
              <w:rFonts w:hint="eastAsia" w:ascii="Times New Roman" w:hAnsi="Times New Roman" w:cs="Times New Roman"/>
            </w:rPr>
            <w:t>）</w:t>
          </w:r>
          <w:r>
            <w:rPr>
              <w:rFonts w:ascii="Times New Roman" w:hAnsi="Times New Roman" w:cs="Times New Roman"/>
            </w:rPr>
            <w:t>气味净化性能试验方法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_Toc6804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57DA34BA">
          <w:pPr>
            <w:rPr>
              <w:b/>
              <w:bCs/>
              <w:lang w:val="zh-CN"/>
            </w:rPr>
          </w:pPr>
          <w:r>
            <w:rPr>
              <w:bCs/>
              <w:lang w:val="zh-CN"/>
            </w:rPr>
            <w:fldChar w:fldCharType="end"/>
          </w:r>
        </w:p>
      </w:sdtContent>
    </w:sdt>
    <w:p w14:paraId="6925B0E3">
      <w:pPr>
        <w:rPr>
          <w:b/>
          <w:bCs/>
          <w:lang w:val="zh-CN"/>
        </w:rPr>
      </w:pPr>
      <w:r>
        <w:br w:type="page"/>
      </w:r>
    </w:p>
    <w:p w14:paraId="65FFF531">
      <w:pPr>
        <w:pStyle w:val="20"/>
        <w:outlineLvl w:val="9"/>
        <w:sectPr>
          <w:headerReference r:id="rId3" w:type="default"/>
          <w:footerReference r:id="rId5" w:type="default"/>
          <w:headerReference r:id="rId4" w:type="even"/>
          <w:footerReference r:id="rId6" w:type="even"/>
          <w:pgSz w:w="11906" w:h="16838"/>
          <w:pgMar w:top="2098" w:right="1134" w:bottom="1134" w:left="1418" w:header="1418" w:footer="1134" w:gutter="0"/>
          <w:pgNumType w:start="3"/>
          <w:cols w:space="425" w:num="1"/>
          <w:titlePg/>
          <w:docGrid w:type="lines" w:linePitch="312" w:charSpace="0"/>
        </w:sectPr>
      </w:pPr>
    </w:p>
    <w:p w14:paraId="276E34E4">
      <w:pPr>
        <w:pStyle w:val="20"/>
      </w:pPr>
      <w:bookmarkStart w:id="1" w:name="_Toc7571"/>
      <w:r>
        <w:rPr>
          <w:rFonts w:hint="eastAsia"/>
        </w:rPr>
        <w:t>前</w:t>
      </w:r>
      <w:bookmarkStart w:id="2" w:name="BKQY"/>
      <w:r>
        <w:rPr>
          <w:rFonts w:hAnsi="黑体"/>
        </w:rPr>
        <w:t>  </w:t>
      </w:r>
      <w:r>
        <w:rPr>
          <w:rFonts w:hint="eastAsia"/>
        </w:rPr>
        <w:t>言</w:t>
      </w:r>
      <w:bookmarkEnd w:id="1"/>
      <w:bookmarkEnd w:id="2"/>
    </w:p>
    <w:p w14:paraId="49EFCB5F">
      <w:pPr>
        <w:pStyle w:val="26"/>
        <w:ind w:firstLine="420"/>
      </w:pPr>
      <w:r>
        <w:rPr>
          <w:rFonts w:hint="eastAsia"/>
        </w:rPr>
        <w:t>本文件按照GB/T 1.1-2020《标准化工作导则 第1部分：标准化文件的结构和起草规则》给出的规则起草。</w:t>
      </w:r>
    </w:p>
    <w:p w14:paraId="0F59CC5D">
      <w:pPr>
        <w:pStyle w:val="26"/>
        <w:ind w:firstLine="420"/>
      </w:pPr>
      <w:r>
        <w:rPr>
          <w:rFonts w:hint="eastAsia"/>
        </w:rPr>
        <w:t>请注意本文件的某些内容可能涉及专利。本文件的发布机构不承担识别专利的责任。</w:t>
      </w:r>
    </w:p>
    <w:p w14:paraId="0301BEE4">
      <w:pPr>
        <w:pStyle w:val="26"/>
        <w:ind w:firstLine="420"/>
      </w:pPr>
      <w:r>
        <w:rPr>
          <w:rFonts w:hint="eastAsia"/>
        </w:rPr>
        <w:t>本文件由中国建筑材料联合会提出并归口。</w:t>
      </w:r>
    </w:p>
    <w:p w14:paraId="7504DFA8">
      <w:pPr>
        <w:pStyle w:val="26"/>
        <w:ind w:firstLine="420"/>
      </w:pPr>
      <w:r>
        <w:rPr>
          <w:rFonts w:hint="eastAsia"/>
        </w:rPr>
        <w:t>本文件负责起草单位：</w:t>
      </w:r>
      <w:r>
        <w:rPr>
          <w:rFonts w:hint="eastAsia"/>
          <w:lang w:val="en-US" w:eastAsia="zh-CN"/>
        </w:rPr>
        <w:t>中国国检测试控股集团股份有限公司</w:t>
      </w:r>
      <w:r>
        <w:rPr>
          <w:rFonts w:hint="eastAsia"/>
        </w:rPr>
        <w:t>。</w:t>
      </w:r>
    </w:p>
    <w:p w14:paraId="57051E07">
      <w:pPr>
        <w:pStyle w:val="26"/>
        <w:ind w:firstLine="420"/>
      </w:pPr>
      <w:r>
        <w:rPr>
          <w:rFonts w:hint="eastAsia"/>
        </w:rPr>
        <w:t>本文件参加起草单位：。</w:t>
      </w:r>
    </w:p>
    <w:p w14:paraId="7A5DD5F8">
      <w:pPr>
        <w:pStyle w:val="26"/>
        <w:ind w:firstLine="420"/>
        <w:rPr>
          <w:color w:val="000000" w:themeColor="text1"/>
          <w14:textFill>
            <w14:solidFill>
              <w14:schemeClr w14:val="tx1"/>
            </w14:solidFill>
          </w14:textFill>
        </w:rPr>
      </w:pPr>
      <w:r>
        <w:rPr>
          <w:rFonts w:hint="eastAsia"/>
        </w:rPr>
        <w:t>本文件主要起草人：</w:t>
      </w:r>
      <w:r>
        <w:rPr>
          <w:rFonts w:hint="eastAsia"/>
          <w:color w:val="000000" w:themeColor="text1"/>
          <w14:textFill>
            <w14:solidFill>
              <w14:schemeClr w14:val="tx1"/>
            </w14:solidFill>
          </w14:textFill>
        </w:rPr>
        <w:t>。</w:t>
      </w:r>
    </w:p>
    <w:p w14:paraId="7CE68CB7">
      <w:pPr>
        <w:pStyle w:val="26"/>
        <w:ind w:firstLine="420"/>
        <w:sectPr>
          <w:headerReference r:id="rId7" w:type="default"/>
          <w:footerReference r:id="rId8" w:type="default"/>
          <w:pgSz w:w="11906" w:h="16838"/>
          <w:pgMar w:top="2268" w:right="1134" w:bottom="1134" w:left="1418" w:header="1418" w:footer="1134" w:gutter="0"/>
          <w:pgNumType w:start="3"/>
          <w:cols w:space="425" w:num="1"/>
          <w:docGrid w:type="lines" w:linePitch="312" w:charSpace="0"/>
        </w:sectPr>
      </w:pPr>
      <w:r>
        <w:rPr>
          <w:rFonts w:hint="eastAsia"/>
        </w:rPr>
        <w:t>本文件主要审查人：。</w:t>
      </w:r>
      <w:r>
        <w:br w:type="page"/>
      </w:r>
    </w:p>
    <w:p w14:paraId="33B151FA">
      <w:pPr>
        <w:pStyle w:val="26"/>
        <w:adjustRightInd w:val="0"/>
        <w:snapToGrid w:val="0"/>
        <w:spacing w:before="640" w:after="560"/>
        <w:ind w:firstLine="0" w:firstLineChars="0"/>
        <w:jc w:val="center"/>
        <w:rPr>
          <w:rFonts w:ascii="黑体" w:hAnsi="黑体" w:eastAsia="黑体"/>
          <w:b/>
          <w:bCs/>
          <w:sz w:val="32"/>
          <w:szCs w:val="32"/>
        </w:rPr>
      </w:pPr>
      <w:r>
        <w:rPr>
          <w:rFonts w:hint="eastAsia" w:ascii="黑体" w:hAnsi="黑体" w:eastAsia="黑体"/>
          <w:b/>
          <w:bCs/>
          <w:sz w:val="32"/>
          <w:szCs w:val="32"/>
        </w:rPr>
        <w:t>空气净化材料气味净化性能感官评价方法</w:t>
      </w:r>
    </w:p>
    <w:p w14:paraId="34A2A349">
      <w:pPr>
        <w:pStyle w:val="26"/>
        <w:ind w:firstLine="420"/>
        <w:rPr>
          <w:rFonts w:ascii="黑体" w:hAnsi="黑体" w:eastAsia="黑体"/>
          <w:bCs/>
        </w:rPr>
      </w:pPr>
      <w:r>
        <w:rPr>
          <w:rFonts w:hint="eastAsia" w:ascii="黑体" w:hAnsi="黑体" w:eastAsia="黑体"/>
          <w:bCs/>
        </w:rPr>
        <w:t>警告——使用本文件的人员应有正规实验室工作的实践经验。本文件并未指出所有可能的安全问题。使用者有责任采用适当的安全和健康措施。</w:t>
      </w:r>
    </w:p>
    <w:p w14:paraId="5E5EFB96">
      <w:pPr>
        <w:pStyle w:val="29"/>
        <w:numPr>
          <w:ilvl w:val="0"/>
          <w:numId w:val="3"/>
        </w:numPr>
        <w:spacing w:before="312" w:beforeLines="100" w:after="312" w:afterLines="100"/>
        <w:rPr>
          <w:rFonts w:ascii="Times New Roman"/>
        </w:rPr>
      </w:pPr>
      <w:bookmarkStart w:id="3" w:name="_Toc24482"/>
      <w:r>
        <w:rPr>
          <w:rFonts w:hint="eastAsia" w:ascii="Times New Roman"/>
        </w:rPr>
        <w:t>范围</w:t>
      </w:r>
      <w:bookmarkEnd w:id="3"/>
    </w:p>
    <w:p w14:paraId="7CE6A20C">
      <w:pPr>
        <w:pStyle w:val="26"/>
        <w:ind w:firstLine="420"/>
        <w:rPr>
          <w:rFonts w:ascii="Times New Roman"/>
        </w:rPr>
      </w:pPr>
      <w:r>
        <w:rPr>
          <w:rFonts w:hint="eastAsia" w:ascii="Times New Roman"/>
        </w:rPr>
        <w:t>本文件规定了空气净化材料气味净化性能感官评价方法的术语和定义、气味净化性能等级划分、材料和设备、气味评价实验室要求、气味评价小组要求、试验方法和试验报告。</w:t>
      </w:r>
    </w:p>
    <w:p w14:paraId="36E3B087">
      <w:pPr>
        <w:pStyle w:val="26"/>
        <w:ind w:firstLine="420"/>
        <w:rPr>
          <w:rFonts w:ascii="Times New Roman"/>
        </w:rPr>
      </w:pPr>
      <w:r>
        <w:rPr>
          <w:rFonts w:hint="eastAsia" w:ascii="Times New Roman"/>
        </w:rPr>
        <w:t>本文件适用于空气净化材料的气味净化性能评价。</w:t>
      </w:r>
    </w:p>
    <w:p w14:paraId="57F802C8">
      <w:pPr>
        <w:pStyle w:val="29"/>
        <w:numPr>
          <w:ilvl w:val="0"/>
          <w:numId w:val="3"/>
        </w:numPr>
        <w:spacing w:before="312" w:beforeLines="100" w:after="312" w:afterLines="100"/>
        <w:rPr>
          <w:rFonts w:ascii="Times New Roman"/>
        </w:rPr>
      </w:pPr>
      <w:bookmarkStart w:id="4" w:name="_Toc6718"/>
      <w:r>
        <w:rPr>
          <w:rFonts w:ascii="Times New Roman"/>
        </w:rPr>
        <w:t>规范性引用文件</w:t>
      </w:r>
      <w:bookmarkEnd w:id="4"/>
    </w:p>
    <w:p w14:paraId="608FA765">
      <w:pPr>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下列文件中的内容通过文中的规范性引用而构成本文件必不可少的条款。其中，注日期的引用文件，仅该日期对应的的版本适用于本文件；不注日期的引用文件，其最新版本（包括所有的修改单）适用于本文件。</w:t>
      </w:r>
    </w:p>
    <w:p w14:paraId="0215A762">
      <w:pPr>
        <w:ind w:firstLine="420" w:firstLineChars="200"/>
        <w:rPr>
          <w:rFonts w:ascii="宋体" w:hAnsi="宋体"/>
        </w:rPr>
      </w:pPr>
      <w:r>
        <w:rPr>
          <w:rFonts w:hint="eastAsia" w:ascii="宋体" w:hAnsi="宋体"/>
        </w:rPr>
        <w:t>GB/T 43353-2023 建材产品的气味释放测试 环境测试舱法</w:t>
      </w:r>
    </w:p>
    <w:p w14:paraId="13C31E57">
      <w:pPr>
        <w:ind w:firstLine="420" w:firstLineChars="200"/>
        <w:rPr>
          <w:rFonts w:ascii="宋体" w:hAnsi="宋体"/>
        </w:rPr>
      </w:pPr>
      <w:r>
        <w:rPr>
          <w:rFonts w:hint="eastAsia" w:ascii="宋体" w:hAnsi="宋体"/>
        </w:rPr>
        <w:t>GB/T 18883 室内空气质量标准</w:t>
      </w:r>
    </w:p>
    <w:p w14:paraId="3F6FAAE0">
      <w:pPr>
        <w:ind w:firstLine="420" w:firstLineChars="200"/>
        <w:rPr>
          <w:rFonts w:hint="eastAsia" w:ascii="宋体" w:hAnsi="Times New Roman" w:eastAsia="宋体" w:cs="Times New Roman"/>
          <w:kern w:val="0"/>
          <w:szCs w:val="20"/>
        </w:rPr>
      </w:pPr>
      <w:r>
        <w:rPr>
          <w:rFonts w:hint="eastAsia" w:ascii="宋体" w:hAnsi="Times New Roman" w:eastAsia="宋体" w:cs="Times New Roman"/>
          <w:kern w:val="0"/>
          <w:szCs w:val="20"/>
        </w:rPr>
        <w:t>JC/T 1074-2021 室内空气净化功能涂覆材料净化性能</w:t>
      </w:r>
    </w:p>
    <w:p w14:paraId="3B812FFC">
      <w:pPr>
        <w:ind w:firstLine="420" w:firstLineChars="200"/>
        <w:rPr>
          <w:rFonts w:hint="eastAsia" w:ascii="宋体" w:hAnsi="Times New Roman" w:eastAsia="宋体" w:cs="Times New Roman"/>
          <w:kern w:val="0"/>
          <w:szCs w:val="20"/>
          <w:lang w:val="en-US" w:eastAsia="zh-CN"/>
        </w:rPr>
      </w:pPr>
      <w:r>
        <w:rPr>
          <w:rFonts w:hint="eastAsia" w:ascii="宋体" w:hAnsi="Times New Roman" w:eastAsia="宋体" w:cs="Times New Roman"/>
          <w:kern w:val="0"/>
          <w:szCs w:val="20"/>
        </w:rPr>
        <w:t>JJF（建材）240-2025</w:t>
      </w:r>
      <w:r>
        <w:rPr>
          <w:rFonts w:hint="eastAsia" w:ascii="宋体" w:hAnsi="Times New Roman" w:eastAsia="宋体" w:cs="Times New Roman"/>
          <w:kern w:val="0"/>
          <w:szCs w:val="20"/>
          <w:lang w:val="en-US" w:eastAsia="zh-CN"/>
        </w:rPr>
        <w:t xml:space="preserve"> 建材产品气味评价用负压采气箱校准规范</w:t>
      </w:r>
    </w:p>
    <w:p w14:paraId="1DFFF949">
      <w:pPr>
        <w:ind w:firstLine="420" w:firstLineChars="200"/>
        <w:rPr>
          <w:rFonts w:hint="eastAsia" w:ascii="宋体" w:hAnsi="Times New Roman" w:eastAsia="宋体" w:cs="Times New Roman"/>
          <w:kern w:val="0"/>
          <w:szCs w:val="20"/>
          <w:lang w:val="en-US" w:eastAsia="zh-CN"/>
        </w:rPr>
      </w:pPr>
      <w:r>
        <w:rPr>
          <w:rFonts w:hint="eastAsia" w:ascii="宋体" w:hAnsi="Times New Roman" w:eastAsia="宋体" w:cs="Times New Roman"/>
          <w:kern w:val="0"/>
          <w:szCs w:val="20"/>
        </w:rPr>
        <w:t>JJF（建材）24</w:t>
      </w:r>
      <w:r>
        <w:rPr>
          <w:rFonts w:hint="eastAsia" w:ascii="宋体" w:hAnsi="Times New Roman" w:eastAsia="宋体" w:cs="Times New Roman"/>
          <w:kern w:val="0"/>
          <w:szCs w:val="20"/>
          <w:lang w:val="en-US" w:eastAsia="zh-CN"/>
        </w:rPr>
        <w:t>1</w:t>
      </w:r>
      <w:r>
        <w:rPr>
          <w:rFonts w:hint="eastAsia" w:ascii="宋体" w:hAnsi="Times New Roman" w:eastAsia="宋体" w:cs="Times New Roman"/>
          <w:kern w:val="0"/>
          <w:szCs w:val="20"/>
        </w:rPr>
        <w:t>-2025</w:t>
      </w:r>
      <w:r>
        <w:rPr>
          <w:rFonts w:hint="eastAsia" w:ascii="宋体" w:hAnsi="Times New Roman" w:eastAsia="宋体" w:cs="Times New Roman"/>
          <w:kern w:val="0"/>
          <w:szCs w:val="20"/>
          <w:lang w:val="en-US" w:eastAsia="zh-CN"/>
        </w:rPr>
        <w:t xml:space="preserve"> 建材产品气味评价用原始气体嗅辨仪校准规范</w:t>
      </w:r>
    </w:p>
    <w:p w14:paraId="39FB37DB">
      <w:pPr>
        <w:pStyle w:val="29"/>
        <w:numPr>
          <w:ilvl w:val="0"/>
          <w:numId w:val="3"/>
        </w:numPr>
        <w:spacing w:before="312" w:beforeLines="100" w:after="312" w:afterLines="100"/>
        <w:rPr>
          <w:rFonts w:ascii="Times New Roman"/>
        </w:rPr>
      </w:pPr>
      <w:bookmarkStart w:id="5" w:name="_Toc1409"/>
      <w:r>
        <w:rPr>
          <w:rFonts w:ascii="Times New Roman"/>
        </w:rPr>
        <w:t>术语和定义</w:t>
      </w:r>
      <w:bookmarkEnd w:id="5"/>
    </w:p>
    <w:p w14:paraId="759A9649">
      <w:pPr>
        <w:pStyle w:val="26"/>
        <w:ind w:firstLine="420"/>
      </w:pPr>
      <w:r>
        <w:rPr>
          <w:rFonts w:hint="eastAsia" w:hAnsi="宋体"/>
        </w:rPr>
        <w:t>GB/T 43353-2023</w:t>
      </w:r>
      <w:r>
        <w:rPr>
          <w:rFonts w:hint="eastAsia"/>
        </w:rPr>
        <w:t>界定的以及下列术语和定义适用于本文件。</w:t>
      </w:r>
    </w:p>
    <w:p w14:paraId="46846488">
      <w:pPr>
        <w:pStyle w:val="31"/>
        <w:numPr>
          <w:ilvl w:val="1"/>
          <w:numId w:val="3"/>
        </w:numPr>
        <w:spacing w:before="156" w:beforeLines="50" w:after="156" w:afterLines="50"/>
        <w:outlineLvl w:val="9"/>
        <w:rPr>
          <w:rFonts w:ascii="宋体" w:eastAsia="宋体"/>
          <w:kern w:val="0"/>
        </w:rPr>
      </w:pPr>
      <w:bookmarkStart w:id="6" w:name="_Toc23076"/>
      <w:bookmarkEnd w:id="6"/>
      <w:bookmarkStart w:id="7" w:name="_Toc80261614"/>
      <w:bookmarkEnd w:id="7"/>
    </w:p>
    <w:p w14:paraId="6011928A">
      <w:pPr>
        <w:pStyle w:val="31"/>
        <w:spacing w:before="156" w:beforeLines="50" w:after="156" w:afterLines="50"/>
        <w:ind w:firstLine="420" w:firstLineChars="200"/>
        <w:outlineLvl w:val="9"/>
        <w:rPr>
          <w:rFonts w:ascii="Times New Roman"/>
        </w:rPr>
      </w:pPr>
      <w:bookmarkStart w:id="8" w:name="_Toc80261615"/>
      <w:bookmarkStart w:id="9" w:name="_Toc8674"/>
      <w:r>
        <w:rPr>
          <w:rFonts w:hint="eastAsia" w:ascii="Times New Roman"/>
        </w:rPr>
        <w:t xml:space="preserve">空气净化 </w:t>
      </w:r>
      <w:bookmarkEnd w:id="8"/>
      <w:r>
        <w:rPr>
          <w:rFonts w:hint="eastAsia" w:ascii="Times New Roman"/>
        </w:rPr>
        <w:t>air purification</w:t>
      </w:r>
      <w:bookmarkEnd w:id="9"/>
      <w:r>
        <w:rPr>
          <w:rFonts w:hint="eastAsia" w:ascii="Times New Roman"/>
        </w:rPr>
        <w:t xml:space="preserve"> </w:t>
      </w:r>
    </w:p>
    <w:p w14:paraId="1D2FAFDF">
      <w:pPr>
        <w:pStyle w:val="31"/>
        <w:spacing w:before="156" w:beforeLines="50" w:after="156" w:afterLines="50"/>
        <w:ind w:firstLine="420" w:firstLineChars="200"/>
        <w:outlineLvl w:val="9"/>
        <w:rPr>
          <w:rFonts w:ascii="宋体" w:eastAsia="宋体"/>
          <w:kern w:val="0"/>
        </w:rPr>
      </w:pPr>
      <w:bookmarkStart w:id="10" w:name="_Toc7907"/>
      <w:r>
        <w:rPr>
          <w:rFonts w:hint="eastAsia" w:ascii="宋体" w:eastAsia="宋体"/>
          <w:kern w:val="0"/>
        </w:rPr>
        <w:t>减少室内环境中影响空气品质的污染物，使空气洁净的行为。</w:t>
      </w:r>
      <w:bookmarkEnd w:id="10"/>
    </w:p>
    <w:p w14:paraId="497ABB87">
      <w:pPr>
        <w:pStyle w:val="26"/>
        <w:ind w:firstLine="420"/>
        <w:rPr>
          <w:highlight w:val="none"/>
        </w:rPr>
      </w:pPr>
      <w:r>
        <w:rPr>
          <w:rFonts w:hint="eastAsia" w:ascii="Times New Roman"/>
          <w:highlight w:val="none"/>
        </w:rPr>
        <w:t>[来源：JC/T 1074-2021 3.1]</w:t>
      </w:r>
    </w:p>
    <w:p w14:paraId="047908C2">
      <w:pPr>
        <w:pStyle w:val="31"/>
        <w:numPr>
          <w:ilvl w:val="1"/>
          <w:numId w:val="3"/>
        </w:numPr>
        <w:spacing w:before="156" w:beforeLines="50" w:after="156" w:afterLines="50"/>
        <w:outlineLvl w:val="9"/>
        <w:rPr>
          <w:rFonts w:ascii="宋体" w:eastAsia="宋体"/>
          <w:kern w:val="0"/>
        </w:rPr>
      </w:pPr>
      <w:bookmarkStart w:id="11" w:name="_Toc31653"/>
      <w:bookmarkEnd w:id="11"/>
      <w:bookmarkStart w:id="12" w:name="_Toc80261617"/>
      <w:bookmarkEnd w:id="12"/>
    </w:p>
    <w:p w14:paraId="32519E5E">
      <w:pPr>
        <w:pStyle w:val="31"/>
        <w:spacing w:before="156" w:beforeLines="50" w:after="156" w:afterLines="50"/>
        <w:ind w:firstLine="420" w:firstLineChars="200"/>
        <w:outlineLvl w:val="9"/>
        <w:rPr>
          <w:rFonts w:ascii="Times New Roman"/>
        </w:rPr>
      </w:pPr>
      <w:bookmarkStart w:id="13" w:name="_Toc80261618"/>
      <w:bookmarkStart w:id="14" w:name="_Toc14529"/>
      <w:r>
        <w:rPr>
          <w:rFonts w:hint="eastAsia" w:ascii="Times New Roman"/>
        </w:rPr>
        <w:t xml:space="preserve">气味净化性能 </w:t>
      </w:r>
      <w:bookmarkEnd w:id="13"/>
      <w:r>
        <w:rPr>
          <w:rFonts w:hint="eastAsia" w:ascii="Times New Roman"/>
        </w:rPr>
        <w:t>odour purification ability</w:t>
      </w:r>
      <w:bookmarkEnd w:id="14"/>
    </w:p>
    <w:p w14:paraId="00355637">
      <w:pPr>
        <w:pStyle w:val="31"/>
        <w:spacing w:before="156" w:beforeLines="50" w:after="156" w:afterLines="50"/>
        <w:ind w:firstLine="420" w:firstLineChars="200"/>
        <w:outlineLvl w:val="9"/>
        <w:rPr>
          <w:rFonts w:ascii="宋体" w:eastAsia="宋体"/>
          <w:kern w:val="0"/>
        </w:rPr>
      </w:pPr>
      <w:bookmarkStart w:id="15" w:name="_Toc80261619"/>
      <w:bookmarkStart w:id="16" w:name="_Toc23344"/>
      <w:r>
        <w:rPr>
          <w:rFonts w:hint="eastAsia" w:ascii="宋体" w:eastAsia="宋体"/>
          <w:kern w:val="0"/>
        </w:rPr>
        <w:t>在规定的试验条件下，试样对空气气味的改善能力。</w:t>
      </w:r>
      <w:bookmarkEnd w:id="15"/>
      <w:bookmarkEnd w:id="16"/>
    </w:p>
    <w:p w14:paraId="19393C32">
      <w:pPr>
        <w:pStyle w:val="31"/>
        <w:numPr>
          <w:ilvl w:val="1"/>
          <w:numId w:val="3"/>
        </w:numPr>
        <w:spacing w:before="156" w:beforeLines="50" w:after="156" w:afterLines="50"/>
        <w:outlineLvl w:val="9"/>
        <w:rPr>
          <w:rFonts w:ascii="Times New Roman" w:eastAsia="宋体"/>
          <w:kern w:val="0"/>
        </w:rPr>
      </w:pPr>
      <w:bookmarkStart w:id="17" w:name="_Toc80261625"/>
      <w:bookmarkEnd w:id="17"/>
      <w:bookmarkStart w:id="18" w:name="_Toc10954"/>
      <w:bookmarkEnd w:id="18"/>
      <w:bookmarkStart w:id="19" w:name="_Toc80261620"/>
      <w:bookmarkEnd w:id="19"/>
    </w:p>
    <w:p w14:paraId="43C71731">
      <w:pPr>
        <w:pStyle w:val="31"/>
        <w:spacing w:before="156" w:beforeLines="50" w:after="156" w:afterLines="50"/>
        <w:ind w:firstLine="420" w:firstLineChars="200"/>
        <w:outlineLvl w:val="9"/>
        <w:rPr>
          <w:rFonts w:ascii="Times New Roman"/>
        </w:rPr>
      </w:pPr>
      <w:bookmarkStart w:id="20" w:name="_Toc80261628"/>
      <w:bookmarkStart w:id="21" w:name="_Toc2747"/>
      <w:bookmarkStart w:id="22" w:name="_Toc80261626"/>
      <w:r>
        <w:rPr>
          <w:rFonts w:hint="eastAsia" w:ascii="Times New Roman"/>
        </w:rPr>
        <w:t xml:space="preserve">气味强度 odour </w:t>
      </w:r>
      <w:bookmarkEnd w:id="20"/>
      <w:r>
        <w:rPr>
          <w:rFonts w:hint="eastAsia" w:ascii="Times New Roman"/>
        </w:rPr>
        <w:t>intensity</w:t>
      </w:r>
      <w:bookmarkEnd w:id="21"/>
    </w:p>
    <w:p w14:paraId="47D19084">
      <w:pPr>
        <w:pStyle w:val="26"/>
        <w:ind w:firstLine="420"/>
        <w:rPr>
          <w:rFonts w:ascii="Times New Roman"/>
        </w:rPr>
      </w:pPr>
      <w:r>
        <w:rPr>
          <w:rFonts w:ascii="Times New Roman"/>
        </w:rPr>
        <w:t>O</w:t>
      </w:r>
      <w:r>
        <w:rPr>
          <w:rFonts w:hint="eastAsia" w:ascii="Times New Roman"/>
        </w:rPr>
        <w:t>I</w:t>
      </w:r>
    </w:p>
    <w:p w14:paraId="4DA20293">
      <w:pPr>
        <w:pStyle w:val="26"/>
        <w:ind w:firstLine="420"/>
        <w:rPr>
          <w:rFonts w:ascii="Times New Roman"/>
        </w:rPr>
      </w:pPr>
      <w:bookmarkStart w:id="23" w:name="_Hlk70082575"/>
      <w:r>
        <w:rPr>
          <w:rFonts w:hint="eastAsia" w:ascii="Times New Roman"/>
        </w:rPr>
        <w:t>气味造成嗅觉刺激的强烈程度</w:t>
      </w:r>
      <w:r>
        <w:rPr>
          <w:rFonts w:ascii="Times New Roman"/>
        </w:rPr>
        <w:t>。</w:t>
      </w:r>
    </w:p>
    <w:p w14:paraId="5B49AD73">
      <w:pPr>
        <w:pStyle w:val="26"/>
        <w:ind w:firstLine="420"/>
        <w:rPr>
          <w:rFonts w:ascii="Times New Roman"/>
        </w:rPr>
      </w:pPr>
      <w:r>
        <w:rPr>
          <w:rFonts w:hint="eastAsia" w:ascii="Times New Roman"/>
        </w:rPr>
        <w:t>[来源：GB/T 43353-2023，</w:t>
      </w:r>
      <w:r>
        <w:rPr>
          <w:rFonts w:ascii="Times New Roman"/>
        </w:rPr>
        <w:t>3.</w:t>
      </w:r>
      <w:r>
        <w:rPr>
          <w:rFonts w:hint="eastAsia" w:ascii="Times New Roman"/>
        </w:rPr>
        <w:t>10]</w:t>
      </w:r>
    </w:p>
    <w:bookmarkEnd w:id="22"/>
    <w:bookmarkEnd w:id="23"/>
    <w:p w14:paraId="480DF6D5">
      <w:pPr>
        <w:pStyle w:val="29"/>
        <w:numPr>
          <w:ilvl w:val="0"/>
          <w:numId w:val="3"/>
        </w:numPr>
        <w:spacing w:before="312" w:beforeLines="100" w:after="312" w:afterLines="100"/>
        <w:rPr>
          <w:rFonts w:ascii="Times New Roman"/>
        </w:rPr>
      </w:pPr>
      <w:bookmarkStart w:id="24" w:name="_Toc80261627"/>
      <w:bookmarkEnd w:id="24"/>
      <w:bookmarkStart w:id="25" w:name="_Toc80261629"/>
      <w:bookmarkEnd w:id="25"/>
      <w:bookmarkStart w:id="26" w:name="_Toc25693"/>
      <w:bookmarkEnd w:id="26"/>
      <w:bookmarkStart w:id="27" w:name="_Toc25763"/>
      <w:r>
        <w:rPr>
          <w:rFonts w:hint="eastAsia" w:ascii="Times New Roman"/>
        </w:rPr>
        <w:t>气味净化性能等级</w:t>
      </w:r>
      <w:bookmarkEnd w:id="27"/>
      <w:r>
        <w:rPr>
          <w:rFonts w:hint="eastAsia" w:ascii="Times New Roman"/>
        </w:rPr>
        <w:t>划分</w:t>
      </w:r>
    </w:p>
    <w:p w14:paraId="5AC32FCE">
      <w:pPr>
        <w:pStyle w:val="26"/>
        <w:ind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rPr>
        <w:t>空气净化材料气味净化性能等级划分见表1。</w:t>
      </w:r>
    </w:p>
    <w:p w14:paraId="58DBB8B9">
      <w:pPr>
        <w:widowControl/>
        <w:tabs>
          <w:tab w:val="center" w:pos="4201"/>
          <w:tab w:val="right" w:leader="dot" w:pos="9298"/>
        </w:tabs>
        <w:autoSpaceDE w:val="0"/>
        <w:autoSpaceDN w:val="0"/>
        <w:spacing w:beforeLines="50" w:afterLines="50" w:line="0" w:lineRule="atLeast"/>
        <w:jc w:val="center"/>
        <w:rPr>
          <w:rFonts w:ascii="黑体" w:hAnsi="黑体" w:eastAsia="黑体" w:cstheme="minorEastAsia"/>
        </w:rPr>
      </w:pPr>
      <w:r>
        <w:rPr>
          <w:rFonts w:hint="eastAsia" w:ascii="黑体" w:hAnsi="黑体" w:eastAsia="黑体" w:cstheme="minorEastAsia"/>
        </w:rPr>
        <w:t>表</w:t>
      </w:r>
      <w:r>
        <w:rPr>
          <w:rFonts w:ascii="黑体" w:hAnsi="黑体" w:eastAsia="黑体" w:cstheme="minorEastAsia"/>
        </w:rPr>
        <w:t>1</w:t>
      </w:r>
      <w:r>
        <w:rPr>
          <w:rFonts w:hint="eastAsia" w:ascii="黑体" w:hAnsi="黑体" w:eastAsia="黑体" w:cstheme="minorEastAsia"/>
        </w:rPr>
        <w:t xml:space="preserve"> 空气净化材料气味净化性能等级划分</w:t>
      </w:r>
    </w:p>
    <w:tbl>
      <w:tblPr>
        <w:tblStyle w:val="14"/>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6985"/>
      </w:tblGrid>
      <w:tr w14:paraId="6D01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494" w:type="dxa"/>
            <w:vAlign w:val="center"/>
          </w:tcPr>
          <w:p w14:paraId="0D0DD74B">
            <w:pPr>
              <w:pStyle w:val="26"/>
              <w:spacing w:line="360" w:lineRule="auto"/>
              <w:ind w:firstLine="0" w:firstLineChars="0"/>
              <w:jc w:val="center"/>
              <w:rPr>
                <w:rFonts w:ascii="Times New Roman"/>
              </w:rPr>
            </w:pPr>
            <w:r>
              <w:rPr>
                <w:rFonts w:hint="eastAsia" w:ascii="Times New Roman"/>
              </w:rPr>
              <w:t>气味净化性能等级</w:t>
            </w:r>
          </w:p>
        </w:tc>
        <w:tc>
          <w:tcPr>
            <w:tcW w:w="6985" w:type="dxa"/>
            <w:vAlign w:val="center"/>
          </w:tcPr>
          <w:p w14:paraId="262E2C76">
            <w:pPr>
              <w:pStyle w:val="26"/>
              <w:spacing w:line="360" w:lineRule="auto"/>
              <w:ind w:firstLine="0" w:firstLineChars="0"/>
              <w:jc w:val="center"/>
              <w:rPr>
                <w:rFonts w:hint="eastAsia" w:ascii="Times New Roman"/>
              </w:rPr>
            </w:pPr>
            <w:r>
              <w:rPr>
                <w:rFonts w:hint="eastAsia" w:ascii="Times New Roman"/>
                <w:lang w:val="en-US" w:eastAsia="zh-CN"/>
              </w:rPr>
              <w:t>指标</w:t>
            </w:r>
            <w:r>
              <w:rPr>
                <w:rFonts w:hint="eastAsia" w:ascii="Times New Roman"/>
              </w:rPr>
              <w:t>要求</w:t>
            </w:r>
          </w:p>
        </w:tc>
      </w:tr>
      <w:tr w14:paraId="4604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2494" w:type="dxa"/>
            <w:vAlign w:val="center"/>
          </w:tcPr>
          <w:p w14:paraId="595CED68">
            <w:pPr>
              <w:pStyle w:val="26"/>
              <w:spacing w:line="360" w:lineRule="auto"/>
              <w:ind w:firstLine="0" w:firstLineChars="0"/>
              <w:jc w:val="center"/>
              <w:rPr>
                <w:rFonts w:ascii="Times New Roman"/>
              </w:rPr>
            </w:pPr>
            <w:r>
              <w:rPr>
                <w:rFonts w:hint="eastAsia" w:ascii="Times New Roman"/>
              </w:rPr>
              <w:t>N级</w:t>
            </w:r>
          </w:p>
        </w:tc>
        <w:tc>
          <w:tcPr>
            <w:tcW w:w="6985" w:type="dxa"/>
            <w:vAlign w:val="center"/>
          </w:tcPr>
          <w:p w14:paraId="6F7ED388">
            <w:pPr>
              <w:pStyle w:val="26"/>
              <w:spacing w:line="360" w:lineRule="auto"/>
              <w:ind w:firstLine="0" w:firstLineChars="0"/>
              <w:jc w:val="center"/>
              <w:rPr>
                <w:rFonts w:ascii="Times New Roman"/>
              </w:rPr>
            </w:pPr>
            <w:r>
              <w:rPr>
                <w:rFonts w:ascii="Times New Roman"/>
              </w:rPr>
              <w:t>Δ</w:t>
            </w:r>
            <w:r>
              <w:rPr>
                <w:rFonts w:hint="eastAsia" w:ascii="Times New Roman"/>
              </w:rPr>
              <w:t>OI＜1.0</w:t>
            </w:r>
          </w:p>
        </w:tc>
      </w:tr>
      <w:tr w14:paraId="4F11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2494" w:type="dxa"/>
            <w:vAlign w:val="center"/>
          </w:tcPr>
          <w:p w14:paraId="5A19D414">
            <w:pPr>
              <w:pStyle w:val="26"/>
              <w:spacing w:line="360" w:lineRule="auto"/>
              <w:ind w:firstLine="0" w:firstLineChars="0"/>
              <w:jc w:val="center"/>
              <w:rPr>
                <w:rFonts w:ascii="Times New Roman"/>
              </w:rPr>
            </w:pPr>
            <w:r>
              <w:rPr>
                <w:rFonts w:hint="eastAsia" w:ascii="Times New Roman"/>
              </w:rPr>
              <w:t>A级</w:t>
            </w:r>
          </w:p>
        </w:tc>
        <w:tc>
          <w:tcPr>
            <w:tcW w:w="6985" w:type="dxa"/>
            <w:vAlign w:val="center"/>
          </w:tcPr>
          <w:p w14:paraId="3A541936">
            <w:pPr>
              <w:pStyle w:val="26"/>
              <w:spacing w:line="360" w:lineRule="auto"/>
              <w:ind w:firstLine="0" w:firstLineChars="0"/>
              <w:jc w:val="center"/>
              <w:rPr>
                <w:rFonts w:ascii="Times New Roman"/>
              </w:rPr>
            </w:pPr>
            <w:r>
              <w:rPr>
                <w:rFonts w:ascii="Times New Roman"/>
              </w:rPr>
              <w:t>Δ</w:t>
            </w:r>
            <w:r>
              <w:rPr>
                <w:rFonts w:hint="eastAsia" w:ascii="Times New Roman"/>
              </w:rPr>
              <w:t>OI≥1.0</w:t>
            </w:r>
          </w:p>
        </w:tc>
      </w:tr>
      <w:tr w14:paraId="4341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2494" w:type="dxa"/>
            <w:vAlign w:val="center"/>
          </w:tcPr>
          <w:p w14:paraId="7C0D4DD5">
            <w:pPr>
              <w:pStyle w:val="26"/>
              <w:spacing w:line="360" w:lineRule="auto"/>
              <w:ind w:firstLine="0" w:firstLineChars="0"/>
              <w:jc w:val="center"/>
              <w:rPr>
                <w:rFonts w:ascii="Times New Roman"/>
              </w:rPr>
            </w:pPr>
            <w:r>
              <w:rPr>
                <w:rFonts w:hint="eastAsia" w:ascii="Times New Roman"/>
              </w:rPr>
              <w:t>AA级</w:t>
            </w:r>
          </w:p>
        </w:tc>
        <w:tc>
          <w:tcPr>
            <w:tcW w:w="6985" w:type="dxa"/>
            <w:vAlign w:val="center"/>
          </w:tcPr>
          <w:p w14:paraId="7B31D33B">
            <w:pPr>
              <w:pStyle w:val="26"/>
              <w:spacing w:line="360" w:lineRule="auto"/>
              <w:ind w:firstLine="0" w:firstLineChars="0"/>
              <w:jc w:val="center"/>
              <w:rPr>
                <w:rFonts w:hint="eastAsia" w:ascii="Times New Roman" w:eastAsia="宋体"/>
                <w:lang w:val="en-US" w:eastAsia="zh-CN"/>
              </w:rPr>
            </w:pPr>
            <w:r>
              <w:rPr>
                <w:rFonts w:ascii="Times New Roman"/>
              </w:rPr>
              <w:t>Δ</w:t>
            </w:r>
            <w:r>
              <w:rPr>
                <w:rFonts w:hint="eastAsia" w:ascii="Times New Roman"/>
              </w:rPr>
              <w:t>OI≥2.0</w:t>
            </w:r>
          </w:p>
        </w:tc>
      </w:tr>
      <w:tr w14:paraId="0736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2494" w:type="dxa"/>
            <w:vAlign w:val="center"/>
          </w:tcPr>
          <w:p w14:paraId="7997A891">
            <w:pPr>
              <w:pStyle w:val="26"/>
              <w:spacing w:line="360" w:lineRule="auto"/>
              <w:ind w:firstLine="0" w:firstLineChars="0"/>
              <w:jc w:val="center"/>
              <w:rPr>
                <w:rFonts w:ascii="Times New Roman"/>
              </w:rPr>
            </w:pPr>
            <w:r>
              <w:rPr>
                <w:rFonts w:hint="eastAsia" w:ascii="Times New Roman"/>
              </w:rPr>
              <w:t>AAA级</w:t>
            </w:r>
          </w:p>
        </w:tc>
        <w:tc>
          <w:tcPr>
            <w:tcW w:w="6985" w:type="dxa"/>
            <w:vAlign w:val="center"/>
          </w:tcPr>
          <w:p w14:paraId="48B644D8">
            <w:pPr>
              <w:pStyle w:val="26"/>
              <w:spacing w:line="360" w:lineRule="auto"/>
              <w:ind w:firstLine="0" w:firstLineChars="0"/>
              <w:jc w:val="center"/>
              <w:rPr>
                <w:rFonts w:hint="eastAsia" w:ascii="Times New Roman"/>
              </w:rPr>
            </w:pPr>
            <w:r>
              <w:rPr>
                <w:rFonts w:ascii="Times New Roman"/>
              </w:rPr>
              <w:t>Δ</w:t>
            </w:r>
            <w:r>
              <w:rPr>
                <w:rFonts w:hint="eastAsia" w:ascii="Times New Roman"/>
              </w:rPr>
              <w:t>OI≥</w:t>
            </w:r>
            <w:r>
              <w:rPr>
                <w:rFonts w:hint="eastAsia" w:ascii="Times New Roman"/>
                <w:lang w:val="en-US" w:eastAsia="zh-CN"/>
              </w:rPr>
              <w:t>3</w:t>
            </w:r>
            <w:r>
              <w:rPr>
                <w:rFonts w:hint="eastAsia" w:ascii="Times New Roman"/>
              </w:rPr>
              <w:t>.0</w:t>
            </w:r>
          </w:p>
        </w:tc>
      </w:tr>
    </w:tbl>
    <w:p w14:paraId="5DF3DD28">
      <w:pPr>
        <w:pStyle w:val="29"/>
        <w:numPr>
          <w:ilvl w:val="0"/>
          <w:numId w:val="3"/>
        </w:numPr>
        <w:spacing w:before="312" w:beforeLines="100" w:after="312" w:afterLines="100"/>
        <w:rPr>
          <w:rFonts w:ascii="Times New Roman"/>
        </w:rPr>
      </w:pPr>
      <w:bookmarkStart w:id="28" w:name="_Toc10371"/>
      <w:r>
        <w:rPr>
          <w:rFonts w:hint="eastAsia" w:ascii="Times New Roman"/>
        </w:rPr>
        <w:t>材料和设备</w:t>
      </w:r>
      <w:bookmarkEnd w:id="28"/>
    </w:p>
    <w:p w14:paraId="6F78275D">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黑体" w:cs="Times New Roman"/>
          <w:kern w:val="0"/>
          <w:szCs w:val="20"/>
        </w:rPr>
        <w:t>5.1</w:t>
      </w:r>
      <w:r>
        <w:rPr>
          <w:rFonts w:ascii="Times New Roman" w:hAnsi="Times New Roman" w:eastAsia="宋体" w:cs="Times New Roman"/>
          <w:kern w:val="0"/>
          <w:szCs w:val="20"/>
        </w:rPr>
        <w:t xml:space="preserve"> 样本容器：符合GB/T 43353-2023中5.1</w:t>
      </w:r>
      <w:r>
        <w:rPr>
          <w:rFonts w:hint="eastAsia" w:ascii="Times New Roman" w:hAnsi="Times New Roman" w:eastAsia="宋体" w:cs="Times New Roman"/>
          <w:kern w:val="0"/>
          <w:szCs w:val="20"/>
          <w:lang w:val="en-US" w:eastAsia="zh-CN"/>
        </w:rPr>
        <w:t>和JJF（建材）240-2025</w:t>
      </w:r>
      <w:r>
        <w:rPr>
          <w:rFonts w:ascii="Times New Roman" w:hAnsi="Times New Roman" w:eastAsia="宋体" w:cs="Times New Roman"/>
          <w:kern w:val="0"/>
          <w:szCs w:val="20"/>
        </w:rPr>
        <w:t>的要求。</w:t>
      </w:r>
    </w:p>
    <w:p w14:paraId="6F8B00D6">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黑体" w:cs="Times New Roman"/>
          <w:kern w:val="0"/>
          <w:szCs w:val="20"/>
        </w:rPr>
        <w:t xml:space="preserve">5.2 </w:t>
      </w:r>
      <w:r>
        <w:rPr>
          <w:rFonts w:ascii="Times New Roman" w:hAnsi="Times New Roman" w:eastAsia="宋体" w:cs="Times New Roman"/>
          <w:kern w:val="0"/>
          <w:szCs w:val="20"/>
        </w:rPr>
        <w:t>负压采气箱：符合GB/T 43353-2023中5.2</w:t>
      </w:r>
      <w:r>
        <w:rPr>
          <w:rFonts w:hint="eastAsia" w:ascii="Times New Roman" w:hAnsi="Times New Roman" w:eastAsia="宋体" w:cs="Times New Roman"/>
          <w:kern w:val="0"/>
          <w:szCs w:val="20"/>
          <w:lang w:val="en-US" w:eastAsia="zh-CN"/>
        </w:rPr>
        <w:t>和JJF（建材）241-2025</w:t>
      </w:r>
      <w:r>
        <w:rPr>
          <w:rFonts w:ascii="Times New Roman" w:hAnsi="Times New Roman" w:eastAsia="宋体" w:cs="Times New Roman"/>
          <w:kern w:val="0"/>
          <w:szCs w:val="20"/>
        </w:rPr>
        <w:t>的要求。</w:t>
      </w:r>
    </w:p>
    <w:p w14:paraId="42ABFADE">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黑体" w:cs="Times New Roman"/>
          <w:kern w:val="0"/>
          <w:szCs w:val="20"/>
        </w:rPr>
        <w:t xml:space="preserve">5.3 </w:t>
      </w:r>
      <w:r>
        <w:rPr>
          <w:rFonts w:ascii="Times New Roman" w:hAnsi="Times New Roman" w:eastAsia="宋体" w:cs="Times New Roman"/>
          <w:kern w:val="0"/>
          <w:szCs w:val="20"/>
        </w:rPr>
        <w:t>原始气体嗅辨仪</w:t>
      </w:r>
      <w:bookmarkStart w:id="29" w:name="_Hlk70083069"/>
      <w:r>
        <w:rPr>
          <w:rFonts w:ascii="Times New Roman" w:hAnsi="Times New Roman" w:eastAsia="宋体" w:cs="Times New Roman"/>
          <w:kern w:val="0"/>
          <w:szCs w:val="20"/>
        </w:rPr>
        <w:t>：符合GB/T 43353-2023中5.3的要求。</w:t>
      </w:r>
    </w:p>
    <w:bookmarkEnd w:id="29"/>
    <w:p w14:paraId="5AC3EA7E">
      <w:pPr>
        <w:widowControl/>
        <w:tabs>
          <w:tab w:val="center" w:pos="4201"/>
          <w:tab w:val="right" w:leader="dot" w:pos="9298"/>
        </w:tabs>
        <w:autoSpaceDE w:val="0"/>
        <w:autoSpaceDN w:val="0"/>
        <w:rPr>
          <w:rFonts w:ascii="Times New Roman" w:hAnsi="Times New Roman" w:eastAsia="黑体" w:cs="Times New Roman"/>
          <w:kern w:val="0"/>
          <w:szCs w:val="20"/>
        </w:rPr>
      </w:pPr>
      <w:r>
        <w:rPr>
          <w:rFonts w:ascii="Times New Roman" w:hAnsi="Times New Roman" w:eastAsia="黑体" w:cs="Times New Roman"/>
          <w:kern w:val="0"/>
          <w:szCs w:val="20"/>
        </w:rPr>
        <w:t xml:space="preserve">5.4 </w:t>
      </w:r>
      <w:r>
        <w:rPr>
          <w:rFonts w:ascii="Times New Roman" w:hAnsi="Times New Roman" w:eastAsia="宋体" w:cs="Times New Roman"/>
          <w:kern w:val="0"/>
          <w:szCs w:val="20"/>
        </w:rPr>
        <w:t>电子天平：精度为0.01g</w:t>
      </w:r>
      <w:r>
        <w:rPr>
          <w:rFonts w:ascii="Times New Roman" w:hAnsi="Times New Roman" w:eastAsia="黑体" w:cs="Times New Roman"/>
          <w:kern w:val="0"/>
          <w:szCs w:val="20"/>
        </w:rPr>
        <w:t>。</w:t>
      </w:r>
    </w:p>
    <w:p w14:paraId="2907C76E">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黑体" w:cs="Times New Roman"/>
          <w:kern w:val="0"/>
          <w:szCs w:val="20"/>
        </w:rPr>
        <w:t>5.5</w:t>
      </w:r>
      <w:r>
        <w:rPr>
          <w:rFonts w:ascii="Times New Roman" w:hAnsi="Times New Roman" w:eastAsia="宋体" w:cs="Times New Roman"/>
          <w:kern w:val="0"/>
          <w:szCs w:val="20"/>
        </w:rPr>
        <w:t xml:space="preserve"> 微量注射器：量程5μL，分度值为0.1μL。</w:t>
      </w:r>
    </w:p>
    <w:p w14:paraId="2A7A90C4">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黑体" w:cs="Times New Roman"/>
          <w:kern w:val="0"/>
          <w:szCs w:val="20"/>
        </w:rPr>
        <w:t>5.6</w:t>
      </w:r>
      <w:r>
        <w:rPr>
          <w:rFonts w:ascii="Times New Roman" w:hAnsi="Times New Roman" w:eastAsia="宋体" w:cs="Times New Roman"/>
          <w:kern w:val="0"/>
          <w:szCs w:val="20"/>
        </w:rPr>
        <w:t xml:space="preserve"> 试验舱系统：符合JC/T 1074中对于试验舱的要求。</w:t>
      </w:r>
    </w:p>
    <w:p w14:paraId="3B1085D2">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宋体" w:cs="Times New Roman"/>
          <w:kern w:val="0"/>
          <w:szCs w:val="20"/>
        </w:rPr>
        <w:t>5.7 正丁醇：分析纯</w:t>
      </w:r>
      <w:r>
        <w:rPr>
          <w:rFonts w:hint="eastAsia" w:ascii="Times New Roman" w:hAnsi="Times New Roman" w:eastAsia="宋体" w:cs="Times New Roman"/>
          <w:kern w:val="0"/>
          <w:szCs w:val="20"/>
          <w:lang w:val="en-US" w:eastAsia="zh-CN"/>
        </w:rPr>
        <w:t>及以上</w:t>
      </w:r>
      <w:r>
        <w:rPr>
          <w:rFonts w:ascii="Times New Roman" w:hAnsi="Times New Roman" w:eastAsia="宋体" w:cs="Times New Roman"/>
          <w:kern w:val="0"/>
          <w:szCs w:val="20"/>
        </w:rPr>
        <w:t>，纯度≥99%。</w:t>
      </w:r>
    </w:p>
    <w:p w14:paraId="03EAA23C">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宋体" w:cs="Times New Roman"/>
          <w:kern w:val="0"/>
          <w:szCs w:val="20"/>
        </w:rPr>
        <w:t>5.8 壬醛：分析纯</w:t>
      </w:r>
      <w:r>
        <w:rPr>
          <w:rFonts w:hint="eastAsia" w:ascii="Times New Roman" w:hAnsi="Times New Roman" w:eastAsia="宋体" w:cs="Times New Roman"/>
          <w:kern w:val="0"/>
          <w:szCs w:val="20"/>
          <w:lang w:val="en-US" w:eastAsia="zh-CN"/>
        </w:rPr>
        <w:t>及以上</w:t>
      </w:r>
      <w:r>
        <w:rPr>
          <w:rFonts w:ascii="Times New Roman" w:hAnsi="Times New Roman" w:eastAsia="宋体" w:cs="Times New Roman"/>
          <w:kern w:val="0"/>
          <w:szCs w:val="20"/>
        </w:rPr>
        <w:t>，纯度≥99%。</w:t>
      </w:r>
    </w:p>
    <w:p w14:paraId="5B5E7C36">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宋体" w:cs="Times New Roman"/>
          <w:kern w:val="0"/>
          <w:szCs w:val="20"/>
        </w:rPr>
        <w:t>5.</w:t>
      </w:r>
      <w:r>
        <w:rPr>
          <w:rFonts w:hint="eastAsia" w:ascii="Times New Roman" w:hAnsi="Times New Roman" w:eastAsia="宋体" w:cs="Times New Roman"/>
          <w:kern w:val="0"/>
          <w:szCs w:val="20"/>
        </w:rPr>
        <w:t>9</w:t>
      </w:r>
      <w:r>
        <w:rPr>
          <w:rFonts w:ascii="Times New Roman" w:hAnsi="Times New Roman" w:eastAsia="宋体" w:cs="Times New Roman"/>
          <w:kern w:val="0"/>
          <w:szCs w:val="20"/>
        </w:rPr>
        <w:t xml:space="preserve"> 乙酸：分析纯</w:t>
      </w:r>
      <w:r>
        <w:rPr>
          <w:rFonts w:hint="eastAsia" w:ascii="Times New Roman" w:hAnsi="Times New Roman" w:eastAsia="宋体" w:cs="Times New Roman"/>
          <w:kern w:val="0"/>
          <w:szCs w:val="20"/>
          <w:lang w:val="en-US" w:eastAsia="zh-CN"/>
        </w:rPr>
        <w:t>及以上</w:t>
      </w:r>
      <w:r>
        <w:rPr>
          <w:rFonts w:ascii="Times New Roman" w:hAnsi="Times New Roman" w:eastAsia="宋体" w:cs="Times New Roman"/>
          <w:kern w:val="0"/>
          <w:szCs w:val="20"/>
        </w:rPr>
        <w:t>，纯度≥99%。</w:t>
      </w:r>
    </w:p>
    <w:p w14:paraId="52D00818">
      <w:pPr>
        <w:widowControl/>
        <w:tabs>
          <w:tab w:val="center" w:pos="4201"/>
          <w:tab w:val="right" w:leader="dot" w:pos="9298"/>
        </w:tabs>
        <w:autoSpaceDE w:val="0"/>
        <w:autoSpaceDN w:val="0"/>
        <w:rPr>
          <w:rFonts w:ascii="Times New Roman" w:hAnsi="Times New Roman" w:eastAsia="宋体" w:cs="Times New Roman"/>
          <w:kern w:val="0"/>
          <w:szCs w:val="20"/>
        </w:rPr>
      </w:pPr>
      <w:r>
        <w:rPr>
          <w:rFonts w:ascii="Times New Roman" w:hAnsi="Times New Roman" w:eastAsia="宋体" w:cs="Times New Roman"/>
          <w:kern w:val="0"/>
          <w:szCs w:val="20"/>
        </w:rPr>
        <w:t>5.</w:t>
      </w:r>
      <w:r>
        <w:rPr>
          <w:rFonts w:hint="eastAsia" w:ascii="Times New Roman" w:hAnsi="Times New Roman" w:eastAsia="宋体" w:cs="Times New Roman"/>
          <w:kern w:val="0"/>
          <w:szCs w:val="20"/>
        </w:rPr>
        <w:t>10</w:t>
      </w:r>
      <w:r>
        <w:rPr>
          <w:rFonts w:ascii="Times New Roman" w:hAnsi="Times New Roman" w:eastAsia="宋体" w:cs="Times New Roman"/>
          <w:kern w:val="0"/>
          <w:szCs w:val="20"/>
        </w:rPr>
        <w:t xml:space="preserve"> 乙酸正丁酯：分析纯</w:t>
      </w:r>
      <w:r>
        <w:rPr>
          <w:rFonts w:hint="eastAsia" w:ascii="Times New Roman" w:hAnsi="Times New Roman" w:eastAsia="宋体" w:cs="Times New Roman"/>
          <w:kern w:val="0"/>
          <w:szCs w:val="20"/>
          <w:lang w:val="en-US" w:eastAsia="zh-CN"/>
        </w:rPr>
        <w:t>及以上</w:t>
      </w:r>
      <w:r>
        <w:rPr>
          <w:rFonts w:ascii="Times New Roman" w:hAnsi="Times New Roman" w:eastAsia="宋体" w:cs="Times New Roman"/>
          <w:kern w:val="0"/>
          <w:szCs w:val="20"/>
        </w:rPr>
        <w:t>，纯度≥99%。</w:t>
      </w:r>
    </w:p>
    <w:p w14:paraId="2E4D8602">
      <w:pPr>
        <w:pStyle w:val="26"/>
        <w:spacing w:line="360" w:lineRule="auto"/>
        <w:ind w:firstLine="0" w:firstLineChars="0"/>
        <w:rPr>
          <w:rFonts w:hint="default" w:ascii="黑体" w:hAnsi="黑体" w:eastAsia="黑体" w:cs="黑体"/>
          <w:lang w:val="en-US" w:eastAsia="zh-CN"/>
        </w:rPr>
      </w:pPr>
      <w:r>
        <w:rPr>
          <w:rFonts w:hint="eastAsia" w:ascii="黑体" w:hAnsi="黑体" w:eastAsia="黑体" w:cs="黑体"/>
          <w:lang w:val="en-US" w:eastAsia="zh-CN"/>
        </w:rPr>
        <w:t>6</w:t>
      </w:r>
      <w:r>
        <w:rPr>
          <w:rFonts w:hint="eastAsia" w:ascii="黑体" w:hAnsi="黑体" w:eastAsia="黑体" w:cs="黑体"/>
        </w:rPr>
        <w:t xml:space="preserve"> </w:t>
      </w:r>
      <w:r>
        <w:rPr>
          <w:rFonts w:hint="eastAsia" w:ascii="黑体" w:hAnsi="黑体" w:eastAsia="黑体" w:cs="黑体"/>
          <w:lang w:val="en-US" w:eastAsia="zh-CN"/>
        </w:rPr>
        <w:t xml:space="preserve"> 试验方法</w:t>
      </w:r>
    </w:p>
    <w:p w14:paraId="3187805F">
      <w:pPr>
        <w:pStyle w:val="26"/>
        <w:spacing w:line="360" w:lineRule="auto"/>
        <w:ind w:firstLine="0" w:firstLineChars="0"/>
        <w:rPr>
          <w:rFonts w:hint="eastAsia" w:ascii="黑体" w:hAnsi="黑体" w:eastAsia="黑体" w:cs="黑体"/>
          <w:lang w:val="en-US" w:eastAsia="zh-CN"/>
        </w:rPr>
      </w:pPr>
      <w:bookmarkStart w:id="30" w:name="_Toc32330"/>
      <w:r>
        <w:rPr>
          <w:rFonts w:hint="eastAsia" w:ascii="黑体" w:hAnsi="黑体" w:eastAsia="黑体" w:cs="黑体"/>
          <w:lang w:val="en-US" w:eastAsia="zh-CN"/>
        </w:rPr>
        <w:t>6.1 气味评价实验室要求</w:t>
      </w:r>
      <w:bookmarkEnd w:id="30"/>
    </w:p>
    <w:p w14:paraId="4ED8138B">
      <w:pPr>
        <w:pStyle w:val="22"/>
        <w:numPr>
          <w:ilvl w:val="0"/>
          <w:numId w:val="0"/>
        </w:numPr>
        <w:adjustRightInd w:val="0"/>
        <w:snapToGrid w:val="0"/>
        <w:ind w:firstLine="420" w:firstLineChars="200"/>
        <w:jc w:val="both"/>
        <w:outlineLvl w:val="9"/>
        <w:rPr>
          <w:rFonts w:eastAsia="宋体"/>
        </w:rPr>
      </w:pPr>
      <w:bookmarkStart w:id="31" w:name="_Toc80261633"/>
      <w:bookmarkStart w:id="32" w:name="_Toc21170"/>
      <w:bookmarkStart w:id="33" w:name="_Toc52264538"/>
      <w:r>
        <w:rPr>
          <w:rFonts w:eastAsia="宋体"/>
        </w:rPr>
        <w:t>气味评价实验室</w:t>
      </w:r>
      <w:r>
        <w:rPr>
          <w:rFonts w:hint="eastAsia" w:eastAsia="宋体"/>
        </w:rPr>
        <w:t>应满足GB/T 43353-2023中5.7气味评价实验室和恢复室的要求</w:t>
      </w:r>
      <w:r>
        <w:rPr>
          <w:rFonts w:eastAsia="宋体"/>
        </w:rPr>
        <w:t>。</w:t>
      </w:r>
      <w:r>
        <w:rPr>
          <w:rFonts w:hint="eastAsia" w:eastAsia="宋体"/>
        </w:rPr>
        <w:t>其中嗅辨室</w:t>
      </w:r>
      <w:r>
        <w:rPr>
          <w:rFonts w:eastAsia="宋体"/>
        </w:rPr>
        <w:t>温度应维持在（23±2）℃，相对湿度应维持在（50±10）%。</w:t>
      </w:r>
      <w:bookmarkEnd w:id="31"/>
      <w:bookmarkEnd w:id="32"/>
      <w:bookmarkEnd w:id="33"/>
      <w:bookmarkStart w:id="34" w:name="_Hlk80197591"/>
    </w:p>
    <w:bookmarkEnd w:id="34"/>
    <w:p w14:paraId="23286322">
      <w:pPr>
        <w:pStyle w:val="26"/>
        <w:spacing w:line="360" w:lineRule="auto"/>
        <w:ind w:firstLine="0" w:firstLineChars="0"/>
        <w:rPr>
          <w:rFonts w:hint="eastAsia" w:ascii="黑体" w:hAnsi="黑体" w:eastAsia="黑体" w:cs="黑体"/>
          <w:lang w:val="en-US" w:eastAsia="zh-CN"/>
        </w:rPr>
      </w:pPr>
      <w:bookmarkStart w:id="35" w:name="_Toc26224"/>
      <w:r>
        <w:rPr>
          <w:rFonts w:hint="eastAsia" w:ascii="黑体" w:hAnsi="黑体" w:eastAsia="黑体" w:cs="黑体"/>
          <w:lang w:val="en-US" w:eastAsia="zh-CN"/>
        </w:rPr>
        <w:t>6.2 气味评价小组要求</w:t>
      </w:r>
      <w:bookmarkEnd w:id="35"/>
    </w:p>
    <w:p w14:paraId="0D137772">
      <w:pPr>
        <w:widowControl/>
        <w:tabs>
          <w:tab w:val="center" w:pos="4201"/>
          <w:tab w:val="right" w:leader="dot" w:pos="9298"/>
        </w:tabs>
        <w:autoSpaceDE w:val="0"/>
        <w:autoSpaceDN w:val="0"/>
        <w:ind w:firstLine="424" w:firstLineChars="202"/>
        <w:rPr>
          <w:rFonts w:hint="eastAsia" w:ascii="黑体" w:hAnsi="黑体" w:eastAsia="黑体" w:cs="黑体"/>
          <w:lang w:val="en-US" w:eastAsia="zh-CN"/>
        </w:rPr>
      </w:pPr>
      <w:r>
        <w:rPr>
          <w:rFonts w:hint="eastAsia" w:ascii="Times New Roman" w:hAnsi="Times New Roman" w:eastAsia="宋体" w:cs="Times New Roman"/>
          <w:kern w:val="0"/>
          <w:szCs w:val="20"/>
        </w:rPr>
        <w:t>气味评价小组应满足GB/T 43353-2023中8气味评价小组的要求</w:t>
      </w:r>
      <w:r>
        <w:rPr>
          <w:rFonts w:ascii="Times New Roman" w:hAnsi="Times New Roman" w:eastAsia="宋体" w:cs="Times New Roman"/>
          <w:kern w:val="0"/>
          <w:szCs w:val="20"/>
        </w:rPr>
        <w:t>。</w:t>
      </w:r>
    </w:p>
    <w:p w14:paraId="4BEA4289">
      <w:pPr>
        <w:pStyle w:val="26"/>
        <w:spacing w:line="360" w:lineRule="auto"/>
        <w:ind w:firstLine="0" w:firstLineChars="0"/>
        <w:rPr>
          <w:rFonts w:ascii="黑体" w:hAnsi="黑体" w:eastAsia="黑体" w:cs="黑体"/>
        </w:rPr>
      </w:pPr>
      <w:r>
        <w:rPr>
          <w:rFonts w:hint="eastAsia" w:ascii="黑体" w:hAnsi="黑体" w:eastAsia="黑体" w:cs="黑体"/>
          <w:lang w:val="en-US" w:eastAsia="zh-CN"/>
        </w:rPr>
        <w:t>6.3</w:t>
      </w:r>
      <w:r>
        <w:rPr>
          <w:rFonts w:hint="eastAsia" w:ascii="黑体" w:hAnsi="黑体" w:eastAsia="黑体" w:cs="黑体"/>
        </w:rPr>
        <w:t xml:space="preserve"> 试样制备</w:t>
      </w:r>
    </w:p>
    <w:p w14:paraId="75075E3A">
      <w:pPr>
        <w:widowControl/>
        <w:autoSpaceDE w:val="0"/>
        <w:autoSpaceDN w:val="0"/>
        <w:ind w:firstLine="420" w:firstLineChars="200"/>
        <w:rPr>
          <w:rFonts w:ascii="宋体" w:hAnsi="Times New Roman" w:eastAsia="宋体" w:cs="Times New Roman"/>
          <w:kern w:val="0"/>
          <w:szCs w:val="20"/>
        </w:rPr>
      </w:pPr>
      <w:r>
        <w:rPr>
          <w:rFonts w:hint="eastAsia" w:ascii="Times New Roman" w:hAnsi="Times New Roman"/>
          <w:kern w:val="0"/>
          <w:szCs w:val="20"/>
          <w:highlight w:val="none"/>
        </w:rPr>
        <w:t>每个样品平行制备4</w:t>
      </w:r>
      <w:r>
        <w:rPr>
          <w:rFonts w:hint="eastAsia" w:ascii="Times New Roman" w:hAnsi="Times New Roman"/>
          <w:kern w:val="0"/>
          <w:szCs w:val="20"/>
          <w:highlight w:val="none"/>
          <w:lang w:val="en-US" w:eastAsia="zh-CN"/>
        </w:rPr>
        <w:t>份</w:t>
      </w:r>
      <w:r>
        <w:rPr>
          <w:rFonts w:hint="eastAsia" w:ascii="Times New Roman" w:hAnsi="Times New Roman"/>
          <w:kern w:val="0"/>
          <w:szCs w:val="20"/>
          <w:highlight w:val="none"/>
        </w:rPr>
        <w:t>试样</w:t>
      </w:r>
      <w:r>
        <w:rPr>
          <w:rFonts w:hint="eastAsia" w:ascii="Times New Roman" w:hAnsi="Times New Roman"/>
          <w:kern w:val="0"/>
          <w:szCs w:val="20"/>
          <w:highlight w:val="none"/>
          <w:lang w:eastAsia="zh-CN"/>
        </w:rPr>
        <w:t>，</w:t>
      </w:r>
      <w:r>
        <w:rPr>
          <w:rFonts w:hint="eastAsia"/>
        </w:rPr>
        <w:t>试样制备按照附</w:t>
      </w:r>
      <w:r>
        <w:rPr>
          <w:rFonts w:ascii="Times New Roman" w:hAnsi="Times New Roman" w:cs="Times New Roman"/>
        </w:rPr>
        <w:t>录A的规定执行，</w:t>
      </w:r>
      <w:r>
        <w:rPr>
          <w:rFonts w:ascii="Times New Roman" w:hAnsi="Times New Roman" w:cs="Times New Roman"/>
          <w:kern w:val="0"/>
          <w:szCs w:val="20"/>
        </w:rPr>
        <w:t>也可以按</w:t>
      </w:r>
      <w:r>
        <w:rPr>
          <w:rFonts w:hint="eastAsia" w:ascii="Times New Roman" w:hAnsi="Times New Roman"/>
          <w:kern w:val="0"/>
          <w:szCs w:val="20"/>
        </w:rPr>
        <w:t>产品说明书中</w:t>
      </w:r>
      <w:r>
        <w:rPr>
          <w:rFonts w:ascii="Times New Roman" w:hAnsi="Times New Roman"/>
          <w:kern w:val="0"/>
          <w:szCs w:val="20"/>
        </w:rPr>
        <w:t>的</w:t>
      </w:r>
      <w:r>
        <w:rPr>
          <w:rFonts w:hint="eastAsia" w:ascii="Times New Roman" w:hAnsi="Times New Roman"/>
          <w:kern w:val="0"/>
          <w:szCs w:val="20"/>
        </w:rPr>
        <w:t>规定制备试样，</w:t>
      </w:r>
      <w:r>
        <w:rPr>
          <w:rFonts w:hint="eastAsia" w:ascii="Times New Roman" w:hAnsi="Times New Roman"/>
          <w:kern w:val="0"/>
          <w:szCs w:val="20"/>
          <w:lang w:val="en-US" w:eastAsia="zh-CN"/>
        </w:rPr>
        <w:t>但应</w:t>
      </w:r>
      <w:r>
        <w:rPr>
          <w:rFonts w:hint="eastAsia" w:ascii="Times New Roman" w:hAnsi="Times New Roman"/>
          <w:kern w:val="0"/>
          <w:szCs w:val="20"/>
        </w:rPr>
        <w:t>在测试报告中说明</w:t>
      </w:r>
      <w:r>
        <w:rPr>
          <w:rFonts w:ascii="Times New Roman" w:hAnsi="Times New Roman"/>
          <w:kern w:val="0"/>
          <w:szCs w:val="20"/>
        </w:rPr>
        <w:t>。</w:t>
      </w:r>
    </w:p>
    <w:p w14:paraId="36B6DCD1">
      <w:pPr>
        <w:pStyle w:val="26"/>
        <w:spacing w:line="360" w:lineRule="auto"/>
        <w:ind w:firstLine="0" w:firstLineChars="0"/>
        <w:rPr>
          <w:rFonts w:ascii="黑体" w:hAnsi="黑体" w:eastAsia="黑体" w:cs="黑体"/>
        </w:rPr>
      </w:pPr>
      <w:r>
        <w:rPr>
          <w:rFonts w:hint="eastAsia" w:ascii="黑体" w:hAnsi="黑体" w:eastAsia="黑体" w:cs="黑体"/>
          <w:lang w:val="en-US" w:eastAsia="zh-CN"/>
        </w:rPr>
        <w:t>6.4</w:t>
      </w:r>
      <w:r>
        <w:rPr>
          <w:rFonts w:hint="eastAsia" w:ascii="黑体" w:hAnsi="黑体" w:eastAsia="黑体" w:cs="黑体"/>
        </w:rPr>
        <w:t xml:space="preserve"> 试样前处理</w:t>
      </w:r>
    </w:p>
    <w:p w14:paraId="04E2BF5B">
      <w:pPr>
        <w:pStyle w:val="26"/>
        <w:ind w:firstLine="420"/>
        <w:rPr>
          <w:rFonts w:hint="eastAsia" w:ascii="Times New Roman"/>
          <w:lang w:val="en-US" w:eastAsia="zh-CN"/>
        </w:rPr>
      </w:pPr>
      <w:r>
        <w:rPr>
          <w:rFonts w:hint="eastAsia" w:ascii="Times New Roman"/>
          <w:lang w:val="en-US" w:eastAsia="zh-CN"/>
        </w:rPr>
        <w:t>试样养护条件为温度（23±2）℃和相对湿度（50±10）%。</w:t>
      </w:r>
    </w:p>
    <w:p w14:paraId="26408A8F">
      <w:pPr>
        <w:pStyle w:val="26"/>
        <w:ind w:firstLine="420"/>
        <w:rPr>
          <w:rFonts w:hint="default" w:ascii="Times New Roman"/>
          <w:lang w:val="en-US" w:eastAsia="zh-CN"/>
        </w:rPr>
      </w:pPr>
      <w:r>
        <w:rPr>
          <w:rFonts w:hint="eastAsia" w:ascii="Times New Roman"/>
          <w:lang w:val="en-US" w:eastAsia="zh-CN"/>
        </w:rPr>
        <w:t>对于涂覆类产品、板状及片状产品、卷状产品，应</w:t>
      </w:r>
      <w:r>
        <w:rPr>
          <w:rFonts w:hint="eastAsia" w:ascii="Times New Roman"/>
        </w:rPr>
        <w:t>将试样放置于洁净</w:t>
      </w:r>
      <w:r>
        <w:rPr>
          <w:rFonts w:hint="eastAsia" w:ascii="Times New Roman"/>
          <w:lang w:val="en-US" w:eastAsia="zh-CN"/>
        </w:rPr>
        <w:t>通风的</w:t>
      </w:r>
      <w:r>
        <w:rPr>
          <w:rFonts w:hint="eastAsia" w:ascii="Times New Roman"/>
        </w:rPr>
        <w:t>环境中</w:t>
      </w:r>
      <w:r>
        <w:rPr>
          <w:rFonts w:hint="eastAsia" w:ascii="Times New Roman"/>
          <w:lang w:val="en-US" w:eastAsia="zh-CN"/>
        </w:rPr>
        <w:t>养护7d</w:t>
      </w:r>
      <w:r>
        <w:rPr>
          <w:rFonts w:hint="eastAsia" w:ascii="Times New Roman"/>
          <w:lang w:eastAsia="zh-CN"/>
        </w:rPr>
        <w:t>；</w:t>
      </w:r>
      <w:r>
        <w:rPr>
          <w:rFonts w:hint="eastAsia" w:ascii="Times New Roman"/>
          <w:lang w:val="en-US" w:eastAsia="zh-CN"/>
        </w:rPr>
        <w:t>对于喷剂类产品，应</w:t>
      </w:r>
      <w:r>
        <w:rPr>
          <w:rFonts w:hint="eastAsia" w:ascii="Times New Roman"/>
        </w:rPr>
        <w:t>将试样放置于</w:t>
      </w:r>
      <w:r>
        <w:rPr>
          <w:rFonts w:hint="eastAsia" w:ascii="Times New Roman"/>
          <w:lang w:val="en-US" w:eastAsia="zh-CN"/>
        </w:rPr>
        <w:t>洁净通风的环境中养护24h；</w:t>
      </w:r>
      <w:r>
        <w:rPr>
          <w:rFonts w:hint="eastAsia" w:ascii="Times New Roman"/>
        </w:rPr>
        <w:t>对于</w:t>
      </w:r>
      <w:r>
        <w:rPr>
          <w:rFonts w:hint="eastAsia" w:ascii="Times New Roman"/>
          <w:lang w:val="en-US" w:eastAsia="zh-CN"/>
        </w:rPr>
        <w:t>粉状及颗粒状产品无需进行养护。</w:t>
      </w:r>
    </w:p>
    <w:p w14:paraId="17ABD1E3">
      <w:pPr>
        <w:pStyle w:val="26"/>
        <w:ind w:firstLine="420"/>
        <w:rPr>
          <w:rFonts w:ascii="Times New Roman"/>
        </w:rPr>
      </w:pPr>
      <w:r>
        <w:rPr>
          <w:rFonts w:ascii="Times New Roman"/>
        </w:rPr>
        <w:t>如果养护过程有特殊的要求，也可以按照具体的产品要求增加处理步骤（如紫外线照射，高温固化），但应在结果报告中指明。</w:t>
      </w:r>
    </w:p>
    <w:p w14:paraId="386E0578">
      <w:pPr>
        <w:widowControl/>
        <w:tabs>
          <w:tab w:val="center" w:pos="4201"/>
          <w:tab w:val="right" w:leader="dot" w:pos="9298"/>
        </w:tabs>
        <w:autoSpaceDE w:val="0"/>
        <w:autoSpaceDN w:val="0"/>
        <w:spacing w:line="360" w:lineRule="auto"/>
        <w:rPr>
          <w:rFonts w:hint="eastAsia" w:ascii="黑体" w:hAnsi="黑体" w:eastAsia="黑体" w:cs="黑体"/>
          <w:kern w:val="0"/>
          <w:szCs w:val="20"/>
          <w:lang w:val="en-US" w:eastAsia="zh-CN"/>
        </w:rPr>
      </w:pPr>
      <w:bookmarkStart w:id="36" w:name="_Toc20397"/>
      <w:r>
        <w:rPr>
          <w:rFonts w:hint="eastAsia" w:ascii="黑体" w:hAnsi="黑体" w:eastAsia="黑体" w:cs="黑体"/>
          <w:kern w:val="0"/>
          <w:szCs w:val="20"/>
          <w:lang w:val="en-US" w:eastAsia="zh-CN"/>
        </w:rPr>
        <w:t>6.5</w:t>
      </w:r>
      <w:r>
        <w:rPr>
          <w:rFonts w:hint="eastAsia" w:ascii="黑体" w:hAnsi="黑体" w:eastAsia="黑体" w:cs="黑体"/>
          <w:kern w:val="0"/>
          <w:szCs w:val="20"/>
        </w:rPr>
        <w:t xml:space="preserve"> 模拟气味</w:t>
      </w:r>
      <w:r>
        <w:rPr>
          <w:rFonts w:hint="eastAsia" w:ascii="黑体" w:hAnsi="黑体" w:eastAsia="黑体" w:cs="黑体"/>
          <w:kern w:val="0"/>
          <w:szCs w:val="20"/>
          <w:lang w:val="en-US" w:eastAsia="zh-CN"/>
        </w:rPr>
        <w:t>溶液制备</w:t>
      </w:r>
    </w:p>
    <w:p w14:paraId="21C1F45A">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按照表</w:t>
      </w:r>
      <w:r>
        <w:rPr>
          <w:rFonts w:hint="eastAsia" w:ascii="Times New Roman" w:hAnsi="Times New Roman" w:eastAsia="宋体" w:cs="Times New Roman"/>
          <w:kern w:val="0"/>
          <w:szCs w:val="20"/>
          <w:lang w:val="en-US" w:eastAsia="zh-CN"/>
        </w:rPr>
        <w:t>2</w:t>
      </w:r>
      <w:r>
        <w:rPr>
          <w:rFonts w:hint="eastAsia" w:ascii="Times New Roman" w:hAnsi="Times New Roman" w:eastAsia="宋体" w:cs="Times New Roman"/>
          <w:kern w:val="0"/>
          <w:szCs w:val="20"/>
        </w:rPr>
        <w:t>配制成10mL模拟气味混合溶液，并于常温、避光条件下保存。</w:t>
      </w:r>
    </w:p>
    <w:p w14:paraId="575E0D8D">
      <w:pPr>
        <w:widowControl/>
        <w:tabs>
          <w:tab w:val="center" w:pos="4201"/>
          <w:tab w:val="right" w:leader="dot" w:pos="9298"/>
        </w:tabs>
        <w:autoSpaceDE w:val="0"/>
        <w:autoSpaceDN w:val="0"/>
        <w:spacing w:beforeLines="50" w:afterLines="50" w:line="0" w:lineRule="atLeast"/>
        <w:jc w:val="center"/>
        <w:rPr>
          <w:rFonts w:hint="eastAsia" w:ascii="黑体" w:hAnsi="黑体" w:eastAsia="黑体" w:cstheme="minorEastAsia"/>
        </w:rPr>
      </w:pPr>
      <w:r>
        <w:rPr>
          <w:rFonts w:hint="eastAsia" w:ascii="黑体" w:hAnsi="黑体" w:eastAsia="黑体" w:cstheme="minorEastAsia"/>
        </w:rPr>
        <w:t>表</w:t>
      </w:r>
      <w:r>
        <w:rPr>
          <w:rFonts w:hint="eastAsia" w:ascii="黑体" w:hAnsi="黑体" w:eastAsia="黑体" w:cstheme="minorEastAsia"/>
          <w:lang w:val="en-US" w:eastAsia="zh-CN"/>
        </w:rPr>
        <w:t>2</w:t>
      </w:r>
      <w:r>
        <w:rPr>
          <w:rFonts w:hint="eastAsia" w:ascii="黑体" w:hAnsi="黑体" w:eastAsia="黑体" w:cstheme="minorEastAsia"/>
        </w:rPr>
        <w:t xml:space="preserve"> 模拟气味混合原液</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1"/>
        <w:gridCol w:w="2989"/>
        <w:gridCol w:w="4138"/>
      </w:tblGrid>
      <w:tr w14:paraId="2170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14:paraId="12198CA5">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气味物质</w:t>
            </w:r>
          </w:p>
        </w:tc>
        <w:tc>
          <w:tcPr>
            <w:tcW w:w="2989" w:type="dxa"/>
          </w:tcPr>
          <w:p w14:paraId="68D785FD">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CAS号</w:t>
            </w:r>
          </w:p>
        </w:tc>
        <w:tc>
          <w:tcPr>
            <w:tcW w:w="4138" w:type="dxa"/>
          </w:tcPr>
          <w:p w14:paraId="516AB679">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体积/mL</w:t>
            </w:r>
          </w:p>
        </w:tc>
      </w:tr>
      <w:tr w14:paraId="04FE6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14:paraId="3453D60B">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正丁醇</w:t>
            </w:r>
          </w:p>
        </w:tc>
        <w:tc>
          <w:tcPr>
            <w:tcW w:w="2989" w:type="dxa"/>
          </w:tcPr>
          <w:p w14:paraId="7E8B6B42">
            <w:pPr>
              <w:widowControl/>
              <w:tabs>
                <w:tab w:val="center" w:pos="4201"/>
                <w:tab w:val="right" w:leader="dot" w:pos="9298"/>
              </w:tabs>
              <w:autoSpaceDE w:val="0"/>
              <w:autoSpaceDN w:val="0"/>
              <w:jc w:val="center"/>
              <w:rPr>
                <w:rFonts w:hint="eastAsia" w:ascii="Times New Roman" w:hAnsi="Times New Roman" w:eastAsia="宋体" w:cs="Times New Roman"/>
                <w:kern w:val="0"/>
                <w:szCs w:val="20"/>
              </w:rPr>
            </w:pPr>
            <w:r>
              <w:rPr>
                <w:rFonts w:ascii="Arial" w:hAnsi="Arial" w:eastAsia="宋体" w:cs="Arial"/>
                <w:i w:val="0"/>
                <w:iCs w:val="0"/>
                <w:caps w:val="0"/>
                <w:color w:val="333333"/>
                <w:spacing w:val="0"/>
                <w:sz w:val="19"/>
                <w:szCs w:val="19"/>
                <w:shd w:val="clear" w:fill="FFFFFF"/>
              </w:rPr>
              <w:t>71-36-3</w:t>
            </w:r>
          </w:p>
        </w:tc>
        <w:tc>
          <w:tcPr>
            <w:tcW w:w="4138" w:type="dxa"/>
          </w:tcPr>
          <w:p w14:paraId="4A027AF8">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5.0</w:t>
            </w:r>
          </w:p>
        </w:tc>
      </w:tr>
      <w:tr w14:paraId="00C8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14:paraId="059923B8">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正壬醛</w:t>
            </w:r>
          </w:p>
        </w:tc>
        <w:tc>
          <w:tcPr>
            <w:tcW w:w="2989" w:type="dxa"/>
          </w:tcPr>
          <w:p w14:paraId="6B07376D">
            <w:pPr>
              <w:widowControl/>
              <w:tabs>
                <w:tab w:val="center" w:pos="4201"/>
                <w:tab w:val="right" w:leader="dot" w:pos="9298"/>
              </w:tabs>
              <w:autoSpaceDE w:val="0"/>
              <w:autoSpaceDN w:val="0"/>
              <w:jc w:val="center"/>
              <w:rPr>
                <w:rFonts w:hint="eastAsia" w:ascii="Times New Roman" w:hAnsi="Times New Roman" w:eastAsia="宋体" w:cs="Times New Roman"/>
                <w:kern w:val="0"/>
                <w:szCs w:val="20"/>
              </w:rPr>
            </w:pPr>
            <w:r>
              <w:rPr>
                <w:rFonts w:ascii="Arial" w:hAnsi="Arial" w:eastAsia="宋体" w:cs="Arial"/>
                <w:i w:val="0"/>
                <w:iCs w:val="0"/>
                <w:caps w:val="0"/>
                <w:color w:val="333333"/>
                <w:spacing w:val="0"/>
                <w:sz w:val="19"/>
                <w:szCs w:val="19"/>
                <w:shd w:val="clear" w:fill="FFFFFF"/>
              </w:rPr>
              <w:t>124-19-6</w:t>
            </w:r>
          </w:p>
        </w:tc>
        <w:tc>
          <w:tcPr>
            <w:tcW w:w="4138" w:type="dxa"/>
          </w:tcPr>
          <w:p w14:paraId="353EED76">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1.0</w:t>
            </w:r>
          </w:p>
        </w:tc>
      </w:tr>
      <w:tr w14:paraId="3230C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14:paraId="72FE8FC7">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乙酸</w:t>
            </w:r>
          </w:p>
        </w:tc>
        <w:tc>
          <w:tcPr>
            <w:tcW w:w="2989" w:type="dxa"/>
          </w:tcPr>
          <w:p w14:paraId="02946245">
            <w:pPr>
              <w:widowControl/>
              <w:tabs>
                <w:tab w:val="center" w:pos="4201"/>
                <w:tab w:val="right" w:leader="dot" w:pos="9298"/>
              </w:tabs>
              <w:autoSpaceDE w:val="0"/>
              <w:autoSpaceDN w:val="0"/>
              <w:jc w:val="center"/>
              <w:rPr>
                <w:rFonts w:hint="eastAsia" w:ascii="Times New Roman" w:hAnsi="Times New Roman" w:eastAsia="宋体" w:cs="Times New Roman"/>
                <w:kern w:val="0"/>
                <w:szCs w:val="20"/>
              </w:rPr>
            </w:pPr>
            <w:r>
              <w:rPr>
                <w:rFonts w:ascii="Arial" w:hAnsi="Arial" w:eastAsia="宋体" w:cs="Arial"/>
                <w:i w:val="0"/>
                <w:iCs w:val="0"/>
                <w:caps w:val="0"/>
                <w:color w:val="333333"/>
                <w:spacing w:val="0"/>
                <w:sz w:val="19"/>
                <w:szCs w:val="19"/>
                <w:shd w:val="clear" w:fill="FFFFFF"/>
              </w:rPr>
              <w:t>64-19-7</w:t>
            </w:r>
          </w:p>
        </w:tc>
        <w:tc>
          <w:tcPr>
            <w:tcW w:w="4138" w:type="dxa"/>
          </w:tcPr>
          <w:p w14:paraId="4344AF2C">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1.0</w:t>
            </w:r>
          </w:p>
        </w:tc>
      </w:tr>
      <w:tr w14:paraId="0501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14:paraId="586575D0">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乙酸正丁酯</w:t>
            </w:r>
          </w:p>
        </w:tc>
        <w:tc>
          <w:tcPr>
            <w:tcW w:w="2989" w:type="dxa"/>
          </w:tcPr>
          <w:p w14:paraId="77D49470">
            <w:pPr>
              <w:widowControl/>
              <w:tabs>
                <w:tab w:val="center" w:pos="4201"/>
                <w:tab w:val="right" w:leader="dot" w:pos="9298"/>
              </w:tabs>
              <w:autoSpaceDE w:val="0"/>
              <w:autoSpaceDN w:val="0"/>
              <w:jc w:val="center"/>
              <w:rPr>
                <w:rFonts w:hint="eastAsia" w:ascii="Times New Roman" w:hAnsi="Times New Roman" w:eastAsia="宋体" w:cs="Times New Roman"/>
                <w:kern w:val="0"/>
                <w:szCs w:val="20"/>
              </w:rPr>
            </w:pPr>
            <w:r>
              <w:rPr>
                <w:rFonts w:ascii="Arial" w:hAnsi="Arial" w:eastAsia="宋体" w:cs="Arial"/>
                <w:i w:val="0"/>
                <w:iCs w:val="0"/>
                <w:caps w:val="0"/>
                <w:color w:val="333333"/>
                <w:spacing w:val="0"/>
                <w:sz w:val="19"/>
                <w:szCs w:val="19"/>
                <w:shd w:val="clear" w:fill="FFFFFF"/>
              </w:rPr>
              <w:t>123-86-4</w:t>
            </w:r>
          </w:p>
        </w:tc>
        <w:tc>
          <w:tcPr>
            <w:tcW w:w="4138" w:type="dxa"/>
          </w:tcPr>
          <w:p w14:paraId="684EC2B9">
            <w:pPr>
              <w:widowControl/>
              <w:tabs>
                <w:tab w:val="center" w:pos="4201"/>
                <w:tab w:val="right" w:leader="dot" w:pos="9298"/>
              </w:tabs>
              <w:autoSpaceDE w:val="0"/>
              <w:autoSpaceDN w:val="0"/>
              <w:jc w:val="center"/>
              <w:rPr>
                <w:rFonts w:ascii="Times New Roman" w:hAnsi="Times New Roman" w:eastAsia="宋体" w:cs="Times New Roman"/>
                <w:kern w:val="0"/>
                <w:szCs w:val="20"/>
              </w:rPr>
            </w:pPr>
            <w:r>
              <w:rPr>
                <w:rFonts w:hint="eastAsia" w:ascii="Times New Roman" w:hAnsi="Times New Roman" w:eastAsia="宋体" w:cs="Times New Roman"/>
                <w:kern w:val="0"/>
                <w:szCs w:val="20"/>
              </w:rPr>
              <w:t>3.0</w:t>
            </w:r>
          </w:p>
        </w:tc>
      </w:tr>
    </w:tbl>
    <w:p w14:paraId="69312603">
      <w:pPr>
        <w:widowControl/>
        <w:tabs>
          <w:tab w:val="center" w:pos="4201"/>
          <w:tab w:val="right" w:leader="dot" w:pos="9298"/>
        </w:tabs>
        <w:autoSpaceDE w:val="0"/>
        <w:autoSpaceDN w:val="0"/>
        <w:ind w:firstLine="420" w:firstLineChars="200"/>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rPr>
        <w:t>根据实际需求，也可测试试样对其他典型气味污染物的净化能力，但</w:t>
      </w:r>
      <w:r>
        <w:rPr>
          <w:rFonts w:hint="eastAsia" w:ascii="Times New Roman" w:hAnsi="Times New Roman" w:eastAsia="宋体" w:cs="Times New Roman"/>
          <w:kern w:val="0"/>
          <w:szCs w:val="20"/>
          <w:lang w:val="en-US" w:eastAsia="zh-CN"/>
        </w:rPr>
        <w:t>应</w:t>
      </w:r>
      <w:r>
        <w:rPr>
          <w:rFonts w:hint="eastAsia" w:ascii="Times New Roman" w:hAnsi="Times New Roman" w:eastAsia="宋体" w:cs="Times New Roman"/>
          <w:kern w:val="0"/>
          <w:szCs w:val="20"/>
        </w:rPr>
        <w:t>在报告中指出。</w:t>
      </w:r>
      <w:r>
        <w:rPr>
          <w:rFonts w:hint="eastAsia" w:ascii="Times New Roman" w:hAnsi="Times New Roman" w:eastAsia="宋体" w:cs="Times New Roman"/>
          <w:kern w:val="0"/>
          <w:szCs w:val="20"/>
          <w:lang w:val="en-US" w:eastAsia="zh-CN"/>
        </w:rPr>
        <w:t>其他典型气味物质及制备方法可参考附录B。</w:t>
      </w:r>
    </w:p>
    <w:p w14:paraId="09726FF4">
      <w:pPr>
        <w:widowControl/>
        <w:tabs>
          <w:tab w:val="center" w:pos="4201"/>
          <w:tab w:val="right" w:leader="dot" w:pos="9298"/>
        </w:tabs>
        <w:autoSpaceDE w:val="0"/>
        <w:autoSpaceDN w:val="0"/>
        <w:spacing w:line="360" w:lineRule="auto"/>
        <w:rPr>
          <w:rFonts w:hint="eastAsia" w:ascii="黑体" w:hAnsi="黑体" w:eastAsia="黑体" w:cs="黑体"/>
          <w:kern w:val="0"/>
          <w:szCs w:val="20"/>
          <w:lang w:val="en-US" w:eastAsia="zh-CN"/>
        </w:rPr>
      </w:pPr>
      <w:r>
        <w:rPr>
          <w:rFonts w:hint="eastAsia" w:ascii="黑体" w:hAnsi="黑体" w:eastAsia="黑体" w:cs="黑体"/>
          <w:kern w:val="0"/>
          <w:szCs w:val="20"/>
          <w:lang w:val="en-US" w:eastAsia="zh-CN"/>
        </w:rPr>
        <w:t>6.6</w:t>
      </w:r>
      <w:r>
        <w:rPr>
          <w:rFonts w:hint="eastAsia" w:ascii="黑体" w:hAnsi="黑体" w:eastAsia="黑体" w:cs="黑体"/>
          <w:kern w:val="0"/>
          <w:szCs w:val="20"/>
        </w:rPr>
        <w:t xml:space="preserve"> </w:t>
      </w:r>
      <w:r>
        <w:rPr>
          <w:rFonts w:hint="eastAsia" w:ascii="黑体" w:hAnsi="黑体" w:eastAsia="黑体" w:cs="黑体"/>
        </w:rPr>
        <w:t>试验舱</w:t>
      </w:r>
      <w:r>
        <w:rPr>
          <w:rFonts w:hint="eastAsia" w:ascii="黑体" w:hAnsi="黑体" w:eastAsia="黑体" w:cs="黑体"/>
          <w:lang w:val="en-US" w:eastAsia="zh-CN"/>
        </w:rPr>
        <w:t>要求</w:t>
      </w:r>
    </w:p>
    <w:p w14:paraId="79440175">
      <w:pPr>
        <w:pStyle w:val="26"/>
        <w:ind w:firstLine="420" w:firstLineChars="0"/>
        <w:rPr>
          <w:rFonts w:ascii="Times New Roman"/>
        </w:rPr>
      </w:pPr>
      <w:r>
        <w:rPr>
          <w:rFonts w:ascii="Times New Roman"/>
        </w:rPr>
        <w:t>温度应</w:t>
      </w:r>
      <w:r>
        <w:rPr>
          <w:rFonts w:hint="eastAsia" w:ascii="Times New Roman"/>
          <w:lang w:val="en-US" w:eastAsia="zh-CN"/>
        </w:rPr>
        <w:t>保持</w:t>
      </w:r>
      <w:r>
        <w:rPr>
          <w:rFonts w:ascii="Times New Roman"/>
        </w:rPr>
        <w:t>在（23±2）℃，相对湿度应</w:t>
      </w:r>
      <w:r>
        <w:rPr>
          <w:rFonts w:hint="eastAsia" w:ascii="Times New Roman"/>
          <w:lang w:val="en-US" w:eastAsia="zh-CN"/>
        </w:rPr>
        <w:t>保持</w:t>
      </w:r>
      <w:r>
        <w:rPr>
          <w:rFonts w:ascii="Times New Roman"/>
        </w:rPr>
        <w:t>在（50±10）%</w:t>
      </w:r>
      <w:r>
        <w:rPr>
          <w:rFonts w:hint="eastAsia" w:ascii="Times New Roman"/>
          <w:lang w:eastAsia="zh-CN"/>
        </w:rPr>
        <w:t>，</w:t>
      </w:r>
      <w:r>
        <w:rPr>
          <w:rFonts w:ascii="Times New Roman"/>
        </w:rPr>
        <w:t>也可根据相应产品标准或实际应用环境要求，选择</w:t>
      </w:r>
      <w:r>
        <w:rPr>
          <w:rFonts w:hint="eastAsia" w:ascii="Times New Roman"/>
        </w:rPr>
        <w:t>试验</w:t>
      </w:r>
      <w:r>
        <w:rPr>
          <w:rFonts w:ascii="Times New Roman"/>
        </w:rPr>
        <w:t>舱测试条件</w:t>
      </w:r>
      <w:r>
        <w:rPr>
          <w:rFonts w:hint="eastAsia" w:ascii="Times New Roman"/>
          <w:lang w:eastAsia="zh-CN"/>
        </w:rPr>
        <w:t>，</w:t>
      </w:r>
      <w:r>
        <w:rPr>
          <w:rFonts w:hint="eastAsia" w:ascii="Times New Roman"/>
          <w:lang w:val="en-US" w:eastAsia="zh-CN"/>
        </w:rPr>
        <w:t>并在结果报告中说明</w:t>
      </w:r>
      <w:r>
        <w:rPr>
          <w:rFonts w:ascii="Times New Roman"/>
        </w:rPr>
        <w:t>。</w:t>
      </w:r>
    </w:p>
    <w:p w14:paraId="4666A61F">
      <w:pPr>
        <w:pStyle w:val="26"/>
        <w:ind w:firstLine="420" w:firstLineChars="0"/>
        <w:rPr>
          <w:rFonts w:ascii="Times New Roman"/>
        </w:rPr>
      </w:pPr>
      <w:r>
        <w:rPr>
          <w:rFonts w:ascii="Times New Roman"/>
        </w:rPr>
        <w:t>试验舱内</w:t>
      </w:r>
      <w:r>
        <w:rPr>
          <w:rFonts w:hint="eastAsia" w:ascii="Times New Roman"/>
          <w:lang w:val="en-US" w:eastAsia="zh-CN"/>
        </w:rPr>
        <w:t>应</w:t>
      </w:r>
      <w:r>
        <w:rPr>
          <w:rFonts w:ascii="Times New Roman"/>
        </w:rPr>
        <w:t>无气味且总挥发性有机化合物（TVOC）浓度应小于等于0.0</w:t>
      </w:r>
      <w:r>
        <w:rPr>
          <w:rFonts w:hint="eastAsia" w:ascii="Times New Roman"/>
        </w:rPr>
        <w:t>20</w:t>
      </w:r>
      <w:r>
        <w:rPr>
          <w:rFonts w:ascii="Times New Roman"/>
        </w:rPr>
        <w:t xml:space="preserve"> mg/m</w:t>
      </w:r>
      <w:r>
        <w:rPr>
          <w:rFonts w:ascii="Times New Roman"/>
          <w:vertAlign w:val="superscript"/>
        </w:rPr>
        <w:t>3</w:t>
      </w:r>
      <w:r>
        <w:rPr>
          <w:rFonts w:ascii="Times New Roman"/>
        </w:rPr>
        <w:t>，</w:t>
      </w:r>
      <w:r>
        <w:rPr>
          <w:rFonts w:hint="eastAsia" w:ascii="Times New Roman"/>
        </w:rPr>
        <w:t xml:space="preserve">单一VOC的背景浓度（以甲苯计）应小于等于0.002 </w:t>
      </w:r>
      <w:r>
        <w:rPr>
          <w:rFonts w:ascii="Times New Roman"/>
        </w:rPr>
        <w:t>mg/m</w:t>
      </w:r>
      <w:r>
        <w:rPr>
          <w:rFonts w:ascii="Times New Roman"/>
          <w:vertAlign w:val="superscript"/>
        </w:rPr>
        <w:t>3</w:t>
      </w:r>
      <w:r>
        <w:rPr>
          <w:rFonts w:hint="eastAsia" w:ascii="Times New Roman"/>
        </w:rPr>
        <w:t>，</w:t>
      </w:r>
      <w:r>
        <w:rPr>
          <w:rFonts w:ascii="Times New Roman"/>
        </w:rPr>
        <w:t>测试方法按照GB/T 18883规定执行。</w:t>
      </w:r>
    </w:p>
    <w:p w14:paraId="36663A88">
      <w:pPr>
        <w:pStyle w:val="26"/>
        <w:ind w:firstLine="420" w:firstLineChars="0"/>
        <w:rPr>
          <w:rFonts w:hint="eastAsia" w:ascii="Times New Roman"/>
        </w:rPr>
      </w:pPr>
      <w:r>
        <w:rPr>
          <w:rFonts w:hint="eastAsia" w:ascii="Times New Roman"/>
        </w:rPr>
        <w:t>若无法满足要求，则应采取有效的清洁措施直至符合要求方可开展试验。</w:t>
      </w:r>
    </w:p>
    <w:p w14:paraId="1334F9BF">
      <w:pPr>
        <w:widowControl/>
        <w:tabs>
          <w:tab w:val="center" w:pos="4201"/>
          <w:tab w:val="right" w:leader="dot" w:pos="9298"/>
        </w:tabs>
        <w:autoSpaceDE w:val="0"/>
        <w:autoSpaceDN w:val="0"/>
        <w:spacing w:line="360" w:lineRule="auto"/>
        <w:rPr>
          <w:rFonts w:hint="eastAsia" w:ascii="黑体" w:hAnsi="黑体" w:eastAsia="黑体" w:cs="黑体"/>
          <w:kern w:val="0"/>
          <w:szCs w:val="20"/>
          <w:lang w:eastAsia="zh-CN"/>
        </w:rPr>
      </w:pPr>
      <w:r>
        <w:rPr>
          <w:rFonts w:hint="eastAsia" w:ascii="黑体" w:hAnsi="黑体" w:eastAsia="黑体" w:cs="黑体"/>
          <w:kern w:val="0"/>
          <w:szCs w:val="20"/>
          <w:lang w:val="en-US" w:eastAsia="zh-CN"/>
        </w:rPr>
        <w:t>6.7</w:t>
      </w:r>
      <w:r>
        <w:rPr>
          <w:rFonts w:hint="eastAsia" w:ascii="黑体" w:hAnsi="黑体" w:eastAsia="黑体" w:cs="黑体"/>
          <w:kern w:val="0"/>
          <w:szCs w:val="20"/>
        </w:rPr>
        <w:t xml:space="preserve"> 气味净化性能</w:t>
      </w:r>
      <w:r>
        <w:rPr>
          <w:rFonts w:hint="eastAsia" w:ascii="黑体" w:hAnsi="黑体" w:eastAsia="黑体" w:cs="黑体"/>
          <w:kern w:val="0"/>
          <w:szCs w:val="20"/>
          <w:lang w:val="en-US" w:eastAsia="zh-CN"/>
        </w:rPr>
        <w:t>测试</w:t>
      </w:r>
    </w:p>
    <w:p w14:paraId="48EF2844">
      <w:pPr>
        <w:widowControl/>
        <w:tabs>
          <w:tab w:val="center" w:pos="4201"/>
          <w:tab w:val="right" w:leader="dot" w:pos="9298"/>
        </w:tabs>
        <w:autoSpaceDE w:val="0"/>
        <w:autoSpaceDN w:val="0"/>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6.7.1</w:t>
      </w:r>
      <w:r>
        <w:rPr>
          <w:rFonts w:ascii="Times New Roman" w:hAnsi="Times New Roman" w:eastAsia="宋体" w:cs="Times New Roman"/>
          <w:kern w:val="0"/>
          <w:szCs w:val="20"/>
        </w:rPr>
        <w:t xml:space="preserve"> </w:t>
      </w:r>
      <w:r>
        <w:rPr>
          <w:rFonts w:hint="eastAsia" w:ascii="Times New Roman" w:hAnsi="Times New Roman" w:eastAsia="宋体" w:cs="Times New Roman"/>
          <w:kern w:val="0"/>
          <w:szCs w:val="20"/>
          <w:lang w:val="en-US" w:eastAsia="zh-CN"/>
        </w:rPr>
        <w:t>试验舱选择</w:t>
      </w:r>
    </w:p>
    <w:p w14:paraId="081521FC">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应选择两台满足要求的试验舱，一台作为样品舱，另一台作为参比舱。</w:t>
      </w:r>
    </w:p>
    <w:p w14:paraId="5C363EE5">
      <w:pPr>
        <w:widowControl/>
        <w:tabs>
          <w:tab w:val="center" w:pos="4201"/>
          <w:tab w:val="right" w:leader="dot" w:pos="9298"/>
        </w:tabs>
        <w:autoSpaceDE w:val="0"/>
        <w:autoSpaceDN w:val="0"/>
        <w:rPr>
          <w:rFonts w:ascii="Times New Roman" w:hAnsi="Times New Roman" w:eastAsia="宋体" w:cs="Times New Roman"/>
          <w:kern w:val="0"/>
          <w:szCs w:val="20"/>
        </w:rPr>
      </w:pPr>
      <w:r>
        <w:rPr>
          <w:rFonts w:hint="eastAsia" w:ascii="Times New Roman" w:hAnsi="Times New Roman" w:eastAsia="宋体" w:cs="Times New Roman"/>
          <w:kern w:val="0"/>
          <w:szCs w:val="20"/>
          <w:lang w:val="en-US" w:eastAsia="zh-CN"/>
        </w:rPr>
        <w:t>6.7.2</w:t>
      </w:r>
      <w:r>
        <w:rPr>
          <w:rFonts w:ascii="Times New Roman" w:hAnsi="Times New Roman" w:eastAsia="宋体" w:cs="Times New Roman"/>
          <w:kern w:val="0"/>
          <w:szCs w:val="20"/>
        </w:rPr>
        <w:t xml:space="preserve"> </w:t>
      </w:r>
      <w:r>
        <w:rPr>
          <w:rFonts w:hint="eastAsia" w:ascii="Times New Roman" w:hAnsi="Times New Roman" w:eastAsia="宋体" w:cs="Times New Roman"/>
          <w:kern w:val="0"/>
          <w:szCs w:val="20"/>
          <w:lang w:val="en-US" w:eastAsia="zh-CN"/>
        </w:rPr>
        <w:t>试样放置</w:t>
      </w:r>
    </w:p>
    <w:p w14:paraId="6A5C95FD">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试样养护完成后，放置于样品舱</w:t>
      </w:r>
      <w:r>
        <w:rPr>
          <w:rFonts w:hint="eastAsia" w:ascii="Times New Roman" w:hAnsi="Times New Roman" w:eastAsia="宋体" w:cs="Times New Roman"/>
          <w:kern w:val="0"/>
          <w:szCs w:val="20"/>
          <w:lang w:val="en-US" w:eastAsia="zh-CN"/>
        </w:rPr>
        <w:t>中心位置</w:t>
      </w:r>
      <w:r>
        <w:rPr>
          <w:rFonts w:hint="eastAsia" w:ascii="Times New Roman" w:hAnsi="Times New Roman" w:eastAsia="宋体" w:cs="Times New Roman"/>
          <w:kern w:val="0"/>
          <w:szCs w:val="20"/>
        </w:rPr>
        <w:t>；在参比舱内放置相同尺寸的试样基材。将两台试验舱与气体发生器连接，并保持舱体密闭。</w:t>
      </w:r>
    </w:p>
    <w:p w14:paraId="036A36BA">
      <w:pPr>
        <w:widowControl/>
        <w:tabs>
          <w:tab w:val="center" w:pos="4201"/>
          <w:tab w:val="right" w:leader="dot" w:pos="9298"/>
        </w:tabs>
        <w:autoSpaceDE w:val="0"/>
        <w:autoSpaceDN w:val="0"/>
        <w:rPr>
          <w:rFonts w:ascii="Times New Roman" w:hAnsi="Times New Roman" w:eastAsia="宋体" w:cs="Times New Roman"/>
          <w:kern w:val="0"/>
          <w:szCs w:val="20"/>
        </w:rPr>
      </w:pPr>
      <w:r>
        <w:rPr>
          <w:rFonts w:hint="eastAsia" w:ascii="Times New Roman" w:hAnsi="Times New Roman" w:eastAsia="宋体" w:cs="Times New Roman"/>
          <w:kern w:val="0"/>
          <w:szCs w:val="20"/>
          <w:lang w:val="en-US" w:eastAsia="zh-CN"/>
        </w:rPr>
        <w:t>6.7.3</w:t>
      </w:r>
      <w:r>
        <w:rPr>
          <w:rFonts w:ascii="Times New Roman" w:hAnsi="Times New Roman" w:eastAsia="宋体" w:cs="Times New Roman"/>
          <w:kern w:val="0"/>
          <w:szCs w:val="20"/>
        </w:rPr>
        <w:t xml:space="preserve"> </w:t>
      </w:r>
      <w:r>
        <w:rPr>
          <w:rFonts w:hint="eastAsia" w:ascii="Times New Roman" w:hAnsi="Times New Roman" w:eastAsia="宋体" w:cs="Times New Roman"/>
          <w:kern w:val="0"/>
          <w:szCs w:val="20"/>
          <w:lang w:val="en-US" w:eastAsia="zh-CN"/>
        </w:rPr>
        <w:t>模拟气味发生</w:t>
      </w:r>
    </w:p>
    <w:p w14:paraId="20C730BF">
      <w:pPr>
        <w:widowControl/>
        <w:tabs>
          <w:tab w:val="center" w:pos="4201"/>
          <w:tab w:val="right" w:leader="dot" w:pos="9298"/>
        </w:tabs>
        <w:autoSpaceDE w:val="0"/>
        <w:autoSpaceDN w:val="0"/>
        <w:ind w:firstLine="420" w:firstLineChars="200"/>
        <w:rPr>
          <w:rFonts w:hint="default" w:ascii="Times New Roman" w:hAnsi="Times New Roman" w:eastAsia="宋体" w:cs="Times New Roman"/>
          <w:kern w:val="0"/>
          <w:szCs w:val="20"/>
        </w:rPr>
      </w:pPr>
      <w:r>
        <w:rPr>
          <w:rFonts w:hint="default" w:ascii="Times New Roman" w:hAnsi="Times New Roman" w:eastAsia="宋体" w:cs="Times New Roman"/>
          <w:kern w:val="0"/>
          <w:szCs w:val="20"/>
        </w:rPr>
        <w:t>同时开启样品舱和参比舱</w:t>
      </w:r>
      <w:r>
        <w:rPr>
          <w:rFonts w:hint="default" w:ascii="Times New Roman" w:hAnsi="Times New Roman" w:eastAsia="宋体" w:cs="Times New Roman"/>
          <w:kern w:val="0"/>
          <w:szCs w:val="20"/>
          <w:lang w:val="en-US" w:eastAsia="zh-CN"/>
        </w:rPr>
        <w:t>的</w:t>
      </w:r>
      <w:r>
        <w:rPr>
          <w:rFonts w:hint="default" w:ascii="Times New Roman" w:hAnsi="Times New Roman" w:eastAsia="宋体" w:cs="Times New Roman"/>
          <w:kern w:val="0"/>
          <w:szCs w:val="20"/>
        </w:rPr>
        <w:t>搅拌风扇，转速设定为(15±1)r/s。使用5 μL的微量注射器，移取(3±0.1) μL污染物，注入气体发生器内，开启气体发生器并开始计时，2h后关闭气体发生器，24h后关闭搅拌风扇。</w:t>
      </w:r>
    </w:p>
    <w:p w14:paraId="0258B6CC">
      <w:pPr>
        <w:widowControl/>
        <w:tabs>
          <w:tab w:val="center" w:pos="4201"/>
          <w:tab w:val="right" w:leader="dot" w:pos="9298"/>
        </w:tabs>
        <w:autoSpaceDE w:val="0"/>
        <w:autoSpaceDN w:val="0"/>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6.7.4</w:t>
      </w:r>
      <w:r>
        <w:rPr>
          <w:rFonts w:ascii="Times New Roman" w:hAnsi="Times New Roman" w:eastAsia="宋体" w:cs="Times New Roman"/>
          <w:kern w:val="0"/>
          <w:szCs w:val="20"/>
        </w:rPr>
        <w:t xml:space="preserve"> </w:t>
      </w:r>
      <w:r>
        <w:rPr>
          <w:rFonts w:hint="eastAsia" w:ascii="Times New Roman" w:hAnsi="Times New Roman" w:eastAsia="宋体" w:cs="Times New Roman"/>
          <w:kern w:val="0"/>
          <w:szCs w:val="20"/>
          <w:lang w:val="en-US" w:eastAsia="zh-CN"/>
        </w:rPr>
        <w:t>气味样本采集</w:t>
      </w:r>
    </w:p>
    <w:p w14:paraId="17EF1FBF">
      <w:pPr>
        <w:widowControl/>
        <w:tabs>
          <w:tab w:val="center" w:pos="4201"/>
          <w:tab w:val="right" w:leader="dot" w:pos="9298"/>
        </w:tabs>
        <w:autoSpaceDE w:val="0"/>
        <w:autoSpaceDN w:val="0"/>
        <w:ind w:firstLine="420" w:firstLineChars="200"/>
        <w:rPr>
          <w:rFonts w:ascii="Times New Roman" w:hAnsi="Times New Roman" w:eastAsia="宋体" w:cs="Times New Roman"/>
          <w:highlight w:val="yellow"/>
        </w:rPr>
      </w:pPr>
      <w:r>
        <w:rPr>
          <w:rFonts w:ascii="Times New Roman" w:hAnsi="Times New Roman" w:eastAsia="宋体" w:cs="Times New Roman"/>
          <w:kern w:val="0"/>
          <w:szCs w:val="20"/>
        </w:rPr>
        <w:t>使用负压采气箱（5.2）同时采集样品舱和参比舱气味样本各至少</w:t>
      </w:r>
      <w:r>
        <w:rPr>
          <w:rFonts w:hint="eastAsia" w:ascii="Times New Roman" w:hAnsi="Times New Roman" w:eastAsia="宋体" w:cs="Times New Roman"/>
          <w:kern w:val="0"/>
          <w:szCs w:val="20"/>
          <w:lang w:val="en-US" w:eastAsia="zh-CN"/>
        </w:rPr>
        <w:t>3</w:t>
      </w:r>
      <w:r>
        <w:rPr>
          <w:rFonts w:ascii="Times New Roman" w:hAnsi="Times New Roman" w:eastAsia="宋体" w:cs="Times New Roman"/>
          <w:kern w:val="0"/>
          <w:szCs w:val="20"/>
        </w:rPr>
        <w:t>0L</w:t>
      </w:r>
      <w:r>
        <w:rPr>
          <w:rFonts w:hint="eastAsia" w:ascii="Times New Roman" w:hAnsi="Times New Roman" w:eastAsia="宋体" w:cs="Times New Roman"/>
          <w:kern w:val="0"/>
          <w:szCs w:val="20"/>
          <w:lang w:eastAsia="zh-CN"/>
        </w:rPr>
        <w:t>。</w:t>
      </w:r>
    </w:p>
    <w:p w14:paraId="315B2CFC">
      <w:pPr>
        <w:widowControl/>
        <w:tabs>
          <w:tab w:val="center" w:pos="4201"/>
          <w:tab w:val="right" w:leader="dot" w:pos="9298"/>
        </w:tabs>
        <w:autoSpaceDE w:val="0"/>
        <w:autoSpaceDN w:val="0"/>
        <w:rPr>
          <w:rFonts w:ascii="Times New Roman" w:hAnsi="Times New Roman" w:eastAsia="宋体" w:cs="Times New Roman"/>
          <w:kern w:val="0"/>
          <w:szCs w:val="20"/>
        </w:rPr>
      </w:pPr>
      <w:r>
        <w:rPr>
          <w:rFonts w:hint="eastAsia" w:ascii="Times New Roman" w:hAnsi="Times New Roman" w:eastAsia="宋体" w:cs="Times New Roman"/>
          <w:kern w:val="0"/>
          <w:szCs w:val="20"/>
          <w:lang w:val="en-US" w:eastAsia="zh-CN"/>
        </w:rPr>
        <w:t>6.7.5 气味强度评价</w:t>
      </w:r>
      <w:r>
        <w:rPr>
          <w:rFonts w:ascii="Times New Roman" w:hAnsi="Times New Roman" w:eastAsia="宋体" w:cs="Times New Roman"/>
          <w:kern w:val="0"/>
          <w:szCs w:val="20"/>
        </w:rPr>
        <w:t xml:space="preserve"> </w:t>
      </w:r>
    </w:p>
    <w:p w14:paraId="14B6A799">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将采集到的气味样本分别通过原始气体嗅辨仪（5.3）呈送给气味评价小组进行气味强度测试，</w:t>
      </w:r>
      <w:r>
        <w:rPr>
          <w:rFonts w:hint="eastAsia" w:ascii="Times New Roman" w:hAnsi="Times New Roman" w:eastAsia="宋体" w:cs="Times New Roman"/>
          <w:kern w:val="0"/>
          <w:szCs w:val="20"/>
        </w:rPr>
        <w:t>气味强度</w:t>
      </w:r>
      <w:r>
        <w:rPr>
          <w:rFonts w:hint="eastAsia" w:ascii="Times New Roman" w:hAnsi="Times New Roman" w:eastAsia="宋体" w:cs="Times New Roman"/>
          <w:kern w:val="0"/>
          <w:szCs w:val="20"/>
          <w:lang w:val="en-US" w:eastAsia="zh-CN"/>
        </w:rPr>
        <w:t>评价方法参照</w:t>
      </w:r>
      <w:r>
        <w:rPr>
          <w:rFonts w:hint="eastAsia" w:ascii="Times New Roman" w:hAnsi="Times New Roman" w:eastAsia="宋体" w:cs="Times New Roman"/>
          <w:kern w:val="0"/>
          <w:szCs w:val="20"/>
        </w:rPr>
        <w:t>GB/T 43353-2023中9.5阶段法的规定执行</w:t>
      </w:r>
      <w:r>
        <w:rPr>
          <w:rFonts w:hint="eastAsia" w:ascii="Times New Roman" w:hAnsi="Times New Roman" w:eastAsia="宋体" w:cs="Times New Roman"/>
          <w:kern w:val="0"/>
          <w:szCs w:val="20"/>
          <w:lang w:eastAsia="zh-CN"/>
        </w:rPr>
        <w:t>，</w:t>
      </w:r>
      <w:r>
        <w:rPr>
          <w:rFonts w:ascii="Times New Roman" w:hAnsi="Times New Roman" w:eastAsia="宋体" w:cs="Times New Roman"/>
          <w:kern w:val="0"/>
          <w:szCs w:val="20"/>
        </w:rPr>
        <w:t>样品舱和参比舱的气味强度结果分别计为OI</w:t>
      </w:r>
      <w:r>
        <w:rPr>
          <w:rFonts w:hint="eastAsia" w:ascii="Times New Roman" w:hAnsi="Times New Roman" w:eastAsia="宋体" w:cs="Times New Roman"/>
          <w:kern w:val="0"/>
          <w:szCs w:val="20"/>
          <w:vertAlign w:val="subscript"/>
          <w:lang w:val="en-US" w:eastAsia="zh-CN"/>
        </w:rPr>
        <w:t>S</w:t>
      </w:r>
      <w:r>
        <w:rPr>
          <w:rFonts w:ascii="Times New Roman" w:hAnsi="Times New Roman" w:eastAsia="宋体" w:cs="Times New Roman"/>
          <w:kern w:val="0"/>
          <w:szCs w:val="20"/>
        </w:rPr>
        <w:t>和OI</w:t>
      </w:r>
      <w:r>
        <w:rPr>
          <w:rFonts w:hint="eastAsia" w:ascii="Times New Roman" w:hAnsi="Times New Roman" w:eastAsia="宋体" w:cs="Times New Roman"/>
          <w:kern w:val="0"/>
          <w:szCs w:val="20"/>
          <w:vertAlign w:val="subscript"/>
          <w:lang w:val="en-US" w:eastAsia="zh-CN"/>
        </w:rPr>
        <w:t>R</w:t>
      </w:r>
      <w:r>
        <w:rPr>
          <w:rFonts w:ascii="Times New Roman" w:hAnsi="Times New Roman" w:eastAsia="宋体" w:cs="Times New Roman"/>
          <w:kern w:val="0"/>
          <w:szCs w:val="20"/>
        </w:rPr>
        <w:t>。</w:t>
      </w:r>
    </w:p>
    <w:p w14:paraId="63FC98A9">
      <w:pPr>
        <w:widowControl/>
        <w:tabs>
          <w:tab w:val="center" w:pos="4201"/>
          <w:tab w:val="right" w:leader="dot" w:pos="9298"/>
        </w:tabs>
        <w:autoSpaceDE w:val="0"/>
        <w:autoSpaceDN w:val="0"/>
        <w:spacing w:line="360" w:lineRule="auto"/>
        <w:rPr>
          <w:rFonts w:ascii="Times New Roman" w:hAnsi="Times New Roman" w:eastAsia="宋体" w:cs="Times New Roman"/>
          <w:kern w:val="0"/>
          <w:szCs w:val="20"/>
        </w:rPr>
      </w:pPr>
      <w:r>
        <w:rPr>
          <w:rFonts w:hint="eastAsia" w:ascii="黑体" w:hAnsi="黑体" w:eastAsia="黑体" w:cs="黑体"/>
          <w:kern w:val="0"/>
          <w:szCs w:val="20"/>
          <w:lang w:val="en-US" w:eastAsia="zh-CN"/>
        </w:rPr>
        <w:t>6.8</w:t>
      </w:r>
      <w:r>
        <w:rPr>
          <w:rFonts w:hint="eastAsia" w:ascii="黑体" w:hAnsi="黑体" w:eastAsia="黑体" w:cs="黑体"/>
          <w:kern w:val="0"/>
          <w:szCs w:val="20"/>
        </w:rPr>
        <w:t xml:space="preserve"> 结果计算</w:t>
      </w:r>
    </w:p>
    <w:p w14:paraId="03B9C00E">
      <w:pPr>
        <w:widowControl/>
        <w:tabs>
          <w:tab w:val="center" w:pos="4201"/>
          <w:tab w:val="right" w:leader="dot" w:pos="9298"/>
        </w:tabs>
        <w:autoSpaceDE w:val="0"/>
        <w:autoSpaceDN w:val="0"/>
        <w:ind w:firstLine="420" w:firstLineChars="200"/>
        <w:rPr>
          <w:rFonts w:ascii="Times New Roman"/>
        </w:rPr>
      </w:pPr>
      <w:r>
        <w:rPr>
          <w:rFonts w:hint="eastAsia" w:ascii="Times New Roman" w:hAnsi="Times New Roman" w:eastAsia="宋体" w:cs="Times New Roman"/>
          <w:kern w:val="0"/>
          <w:szCs w:val="20"/>
        </w:rPr>
        <w:t>样品舱与参比舱</w:t>
      </w:r>
      <w:r>
        <w:rPr>
          <w:rFonts w:hint="eastAsia" w:ascii="Times New Roman" w:hAnsi="Times New Roman" w:eastAsia="宋体" w:cs="Times New Roman"/>
          <w:kern w:val="0"/>
          <w:szCs w:val="20"/>
          <w:lang w:val="en-US" w:eastAsia="zh-CN"/>
        </w:rPr>
        <w:t>气味样本的</w:t>
      </w:r>
      <w:r>
        <w:rPr>
          <w:rFonts w:hint="eastAsia" w:ascii="Times New Roman" w:hAnsi="Times New Roman" w:eastAsia="宋体" w:cs="Times New Roman"/>
          <w:kern w:val="0"/>
          <w:szCs w:val="20"/>
        </w:rPr>
        <w:t>气味强度差值</w:t>
      </w:r>
      <w:r>
        <w:rPr>
          <w:rFonts w:ascii="Times New Roman" w:hAnsi="Times New Roman" w:cs="Times New Roman"/>
        </w:rPr>
        <w:t>Δ</w:t>
      </w:r>
      <w:r>
        <w:rPr>
          <w:rFonts w:hint="eastAsia" w:ascii="Times New Roman"/>
        </w:rPr>
        <w:t>OI按照公式（1）进行计算。</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2"/>
        <w:gridCol w:w="8067"/>
        <w:gridCol w:w="741"/>
      </w:tblGrid>
      <w:tr w14:paraId="127D2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2" w:type="dxa"/>
          </w:tcPr>
          <w:p w14:paraId="4226945A">
            <w:pPr>
              <w:widowControl/>
              <w:tabs>
                <w:tab w:val="center" w:pos="4201"/>
                <w:tab w:val="right" w:leader="dot" w:pos="9298"/>
              </w:tabs>
              <w:autoSpaceDE w:val="0"/>
              <w:autoSpaceDN w:val="0"/>
              <w:rPr>
                <w:rFonts w:ascii="Times New Roman"/>
              </w:rPr>
            </w:pPr>
          </w:p>
        </w:tc>
        <w:tc>
          <w:tcPr>
            <w:tcW w:w="8067" w:type="dxa"/>
          </w:tcPr>
          <w:p w14:paraId="2B5DDD78">
            <w:pPr>
              <w:widowControl/>
              <w:tabs>
                <w:tab w:val="center" w:pos="4201"/>
                <w:tab w:val="right" w:leader="dot" w:pos="9298"/>
              </w:tabs>
              <w:autoSpaceDE w:val="0"/>
              <w:autoSpaceDN w:val="0"/>
              <w:rPr>
                <w:rFonts w:ascii="Cambria Math" w:hAnsi="Cambria Math"/>
                <w:oMath/>
              </w:rPr>
            </w:pPr>
            <m:oMathPara>
              <m:oMathParaPr>
                <m:jc m:val="center"/>
              </m:oMathParaPr>
              <m:oMath>
                <m:r>
                  <m:rPr>
                    <m:sty m:val="p"/>
                  </m:rPr>
                  <w:rPr>
                    <w:rFonts w:ascii="Cambria Math" w:hAnsi="Cambria Math"/>
                  </w:rPr>
                  <m:t>∆</m:t>
                </m:r>
                <m:r>
                  <m:rPr>
                    <m:sty m:val="p"/>
                  </m:rPr>
                  <w:rPr>
                    <w:rFonts w:hint="default" w:ascii="Cambria Math" w:hAnsi="Cambria Math"/>
                    <w:lang w:val="en-US" w:eastAsia="zh-CN"/>
                  </w:rPr>
                  <m:t>OI</m:t>
                </m:r>
                <m:r>
                  <m:rPr/>
                  <w:rPr>
                    <w:rFonts w:ascii="Cambria Math" w:hAnsi="Cambria Math"/>
                  </w:rPr>
                  <m:t>=</m:t>
                </m:r>
                <m:sSub>
                  <m:sSubPr>
                    <m:ctrlPr>
                      <w:rPr>
                        <w:rFonts w:ascii="Times New Roman" w:hAnsi="Times New Roman" w:eastAsia="宋体" w:cs="Times New Roman"/>
                        <w:kern w:val="0"/>
                        <w:szCs w:val="20"/>
                      </w:rPr>
                    </m:ctrlPr>
                  </m:sSubPr>
                  <m:e>
                    <m:r>
                      <m:rPr>
                        <m:sty m:val="p"/>
                      </m:rPr>
                      <w:rPr>
                        <w:rFonts w:ascii="Times New Roman" w:hAnsi="Times New Roman" w:eastAsia="宋体" w:cs="Times New Roman"/>
                        <w:kern w:val="0"/>
                        <w:szCs w:val="20"/>
                      </w:rPr>
                      <m:t>O</m:t>
                    </m:r>
                    <m:r>
                      <m:rPr>
                        <m:sty m:val="p"/>
                      </m:rPr>
                      <w:rPr>
                        <w:rFonts w:ascii="Cambria Math" w:hAnsi="Cambria Math" w:eastAsia="宋体" w:cs="Times New Roman"/>
                        <w:kern w:val="0"/>
                        <w:szCs w:val="20"/>
                      </w:rPr>
                      <m:t>I</m:t>
                    </m:r>
                    <m:ctrlPr>
                      <w:rPr>
                        <w:rFonts w:ascii="Times New Roman" w:hAnsi="Times New Roman" w:eastAsia="宋体" w:cs="Times New Roman"/>
                        <w:kern w:val="0"/>
                        <w:szCs w:val="20"/>
                      </w:rPr>
                    </m:ctrlPr>
                  </m:e>
                  <m:sub>
                    <m:r>
                      <m:rPr>
                        <m:nor/>
                        <m:sty m:val="p"/>
                      </m:rPr>
                      <w:rPr>
                        <w:rFonts w:hint="default" w:ascii="Times New Roman" w:hAnsi="Times New Roman" w:eastAsia="宋体" w:cs="Times New Roman"/>
                        <w:b w:val="0"/>
                        <w:i w:val="0"/>
                        <w:kern w:val="0"/>
                        <w:szCs w:val="20"/>
                        <w:lang w:val="en-US" w:eastAsia="zh-CN"/>
                      </w:rPr>
                      <m:t>R</m:t>
                    </m:r>
                    <m:ctrlPr>
                      <w:rPr>
                        <w:rFonts w:ascii="Times New Roman" w:hAnsi="Times New Roman" w:eastAsia="宋体" w:cs="Times New Roman"/>
                        <w:kern w:val="0"/>
                        <w:szCs w:val="20"/>
                      </w:rPr>
                    </m:ctrlPr>
                  </m:sub>
                </m:sSub>
                <m:r>
                  <m:rPr>
                    <m:sty m:val="p"/>
                  </m:rPr>
                  <w:rPr>
                    <w:rFonts w:ascii="Cambria Math" w:hAnsi="Cambria Math" w:eastAsia="宋体" w:cs="Times New Roman"/>
                    <w:kern w:val="0"/>
                    <w:szCs w:val="20"/>
                  </w:rPr>
                  <m:t>−</m:t>
                </m:r>
                <m:sSub>
                  <m:sSubPr>
                    <m:ctrlPr>
                      <w:rPr>
                        <w:rFonts w:ascii="Times New Roman" w:hAnsi="Times New Roman" w:eastAsia="宋体" w:cs="Times New Roman"/>
                        <w:kern w:val="0"/>
                        <w:szCs w:val="20"/>
                      </w:rPr>
                    </m:ctrlPr>
                  </m:sSubPr>
                  <m:e>
                    <m:r>
                      <m:rPr>
                        <m:sty m:val="p"/>
                      </m:rPr>
                      <w:rPr>
                        <w:rFonts w:ascii="Times New Roman" w:hAnsi="Times New Roman" w:eastAsia="宋体" w:cs="Times New Roman"/>
                        <w:kern w:val="0"/>
                        <w:szCs w:val="20"/>
                      </w:rPr>
                      <m:t>O</m:t>
                    </m:r>
                    <m:r>
                      <m:rPr>
                        <m:sty m:val="p"/>
                      </m:rPr>
                      <w:rPr>
                        <w:rFonts w:ascii="Cambria Math" w:hAnsi="Cambria Math" w:eastAsia="宋体" w:cs="Times New Roman"/>
                        <w:kern w:val="0"/>
                        <w:szCs w:val="20"/>
                      </w:rPr>
                      <m:t>I</m:t>
                    </m:r>
                    <m:ctrlPr>
                      <w:rPr>
                        <w:rFonts w:ascii="Times New Roman" w:hAnsi="Times New Roman" w:eastAsia="宋体" w:cs="Times New Roman"/>
                        <w:kern w:val="0"/>
                        <w:szCs w:val="20"/>
                      </w:rPr>
                    </m:ctrlPr>
                  </m:e>
                  <m:sub>
                    <m:r>
                      <m:rPr>
                        <m:nor/>
                        <m:sty m:val="p"/>
                      </m:rPr>
                      <w:rPr>
                        <w:rFonts w:hint="default" w:ascii="Times New Roman" w:hAnsi="Times New Roman" w:eastAsia="宋体" w:cs="Times New Roman"/>
                        <w:b w:val="0"/>
                        <w:i w:val="0"/>
                        <w:kern w:val="0"/>
                        <w:szCs w:val="20"/>
                        <w:lang w:val="en-US" w:eastAsia="zh-CN"/>
                      </w:rPr>
                      <m:t>S</m:t>
                    </m:r>
                    <m:ctrlPr>
                      <w:rPr>
                        <w:rFonts w:ascii="Times New Roman" w:hAnsi="Times New Roman" w:eastAsia="宋体" w:cs="Times New Roman"/>
                        <w:kern w:val="0"/>
                        <w:szCs w:val="20"/>
                      </w:rPr>
                    </m:ctrlPr>
                  </m:sub>
                </m:sSub>
              </m:oMath>
            </m:oMathPara>
          </w:p>
        </w:tc>
        <w:tc>
          <w:tcPr>
            <w:tcW w:w="741" w:type="dxa"/>
          </w:tcPr>
          <w:p w14:paraId="6592A7EA">
            <w:pPr>
              <w:widowControl/>
              <w:tabs>
                <w:tab w:val="center" w:pos="4201"/>
                <w:tab w:val="right" w:leader="dot" w:pos="9298"/>
              </w:tabs>
              <w:autoSpaceDE w:val="0"/>
              <w:autoSpaceDN w:val="0"/>
              <w:rPr>
                <w:rFonts w:ascii="Times New Roman"/>
              </w:rPr>
            </w:pPr>
            <w:r>
              <w:rPr>
                <w:rFonts w:hint="eastAsia" w:ascii="Times New Roman"/>
              </w:rPr>
              <w:t>（1）</w:t>
            </w:r>
          </w:p>
        </w:tc>
      </w:tr>
      <w:tr w14:paraId="7276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2" w:type="dxa"/>
          </w:tcPr>
          <w:p w14:paraId="7CAAEE85">
            <w:pPr>
              <w:widowControl/>
              <w:tabs>
                <w:tab w:val="center" w:pos="4201"/>
                <w:tab w:val="right" w:leader="dot" w:pos="9298"/>
              </w:tabs>
              <w:autoSpaceDE w:val="0"/>
              <w:autoSpaceDN w:val="0"/>
              <w:rPr>
                <w:rFonts w:ascii="Times New Roman"/>
              </w:rPr>
            </w:pPr>
            <w:r>
              <w:rPr>
                <w:rFonts w:hint="eastAsia" w:ascii="Times New Roman"/>
              </w:rPr>
              <w:t>式中：</w:t>
            </w:r>
          </w:p>
        </w:tc>
        <w:tc>
          <w:tcPr>
            <w:tcW w:w="8067" w:type="dxa"/>
          </w:tcPr>
          <w:p w14:paraId="0385C83D">
            <w:pPr>
              <w:widowControl/>
              <w:tabs>
                <w:tab w:val="center" w:pos="4201"/>
                <w:tab w:val="right" w:leader="dot" w:pos="9298"/>
              </w:tabs>
              <w:autoSpaceDE w:val="0"/>
              <w:autoSpaceDN w:val="0"/>
              <w:rPr>
                <w:rFonts w:ascii="Times New Roman" w:hAnsi="Times New Roman" w:cs="Times New Roman"/>
                <w:iCs/>
              </w:rPr>
            </w:pPr>
            <m:oMath>
              <m:r>
                <m:rPr>
                  <m:sty m:val="p"/>
                </m:rPr>
                <w:rPr>
                  <w:rFonts w:ascii="Cambria Math" w:hAnsi="Cambria Math"/>
                </w:rPr>
                <m:t>∆</m:t>
              </m:r>
              <m:r>
                <m:rPr>
                  <m:sty m:val="p"/>
                </m:rPr>
                <w:rPr>
                  <w:rFonts w:hint="default" w:ascii="Cambria Math" w:hAnsi="Cambria Math"/>
                  <w:lang w:val="en-US" w:eastAsia="zh-CN"/>
                </w:rPr>
                <m:t>OI</m:t>
              </m:r>
            </m:oMath>
            <w:r>
              <w:rPr>
                <w:rFonts w:hint="eastAsia" w:hAnsi="Cambria Math"/>
                <w:iCs/>
              </w:rPr>
              <w:t>—</w:t>
            </w:r>
            <w:r>
              <w:rPr>
                <w:rFonts w:hint="eastAsia" w:ascii="Times New Roman" w:hAnsi="Times New Roman" w:cs="Times New Roman"/>
                <w:iCs/>
              </w:rPr>
              <w:t>参比舱与样品舱气味强度的差值，级；</w:t>
            </w:r>
          </w:p>
          <w:p w14:paraId="3B4E2F20">
            <w:pPr>
              <w:widowControl/>
              <w:tabs>
                <w:tab w:val="center" w:pos="4201"/>
                <w:tab w:val="right" w:leader="dot" w:pos="9298"/>
              </w:tabs>
              <w:autoSpaceDE w:val="0"/>
              <w:autoSpaceDN w:val="0"/>
              <w:rPr>
                <w:rFonts w:ascii="Times New Roman" w:hAnsi="Times New Roman" w:cs="Times New Roman"/>
                <w:iCs/>
              </w:rPr>
            </w:pPr>
            <m:oMath>
              <m:sSub>
                <m:sSubPr>
                  <m:ctrlPr>
                    <w:rPr>
                      <w:rFonts w:ascii="Times New Roman" w:hAnsi="Times New Roman" w:eastAsia="宋体" w:cs="Times New Roman"/>
                      <w:kern w:val="0"/>
                      <w:szCs w:val="20"/>
                    </w:rPr>
                  </m:ctrlPr>
                </m:sSubPr>
                <m:e>
                  <m:r>
                    <m:rPr>
                      <m:sty m:val="p"/>
                    </m:rPr>
                    <w:rPr>
                      <w:rFonts w:ascii="Times New Roman" w:hAnsi="Times New Roman" w:eastAsia="宋体" w:cs="Times New Roman"/>
                      <w:kern w:val="0"/>
                      <w:szCs w:val="20"/>
                    </w:rPr>
                    <m:t>O</m:t>
                  </m:r>
                  <m:r>
                    <m:rPr>
                      <m:sty m:val="p"/>
                    </m:rPr>
                    <w:rPr>
                      <w:rFonts w:ascii="Cambria Math" w:hAnsi="Cambria Math" w:eastAsia="宋体" w:cs="Times New Roman"/>
                      <w:kern w:val="0"/>
                      <w:szCs w:val="20"/>
                    </w:rPr>
                    <m:t>I</m:t>
                  </m:r>
                  <m:ctrlPr>
                    <w:rPr>
                      <w:rFonts w:ascii="Times New Roman" w:hAnsi="Times New Roman" w:eastAsia="宋体" w:cs="Times New Roman"/>
                      <w:kern w:val="0"/>
                      <w:szCs w:val="20"/>
                    </w:rPr>
                  </m:ctrlPr>
                </m:e>
                <m:sub>
                  <m:r>
                    <m:rPr>
                      <m:nor/>
                      <m:sty m:val="p"/>
                    </m:rPr>
                    <w:rPr>
                      <w:rFonts w:hint="default" w:ascii="Times New Roman" w:hAnsi="Times New Roman" w:eastAsia="宋体" w:cs="Times New Roman"/>
                      <w:b w:val="0"/>
                      <w:i w:val="0"/>
                      <w:kern w:val="0"/>
                      <w:szCs w:val="20"/>
                      <w:lang w:val="en-US" w:eastAsia="zh-CN"/>
                    </w:rPr>
                    <m:t>R</m:t>
                  </m:r>
                  <m:ctrlPr>
                    <w:rPr>
                      <w:rFonts w:ascii="Times New Roman" w:hAnsi="Times New Roman" w:eastAsia="宋体" w:cs="Times New Roman"/>
                      <w:kern w:val="0"/>
                      <w:szCs w:val="20"/>
                    </w:rPr>
                  </m:ctrlPr>
                </m:sub>
              </m:sSub>
            </m:oMath>
            <w:r>
              <w:rPr>
                <w:rFonts w:hint="eastAsia" w:hAnsi="Cambria Math"/>
                <w:iCs/>
              </w:rPr>
              <w:t>—</w:t>
            </w:r>
            <w:r>
              <w:rPr>
                <w:rFonts w:hint="eastAsia" w:ascii="Times New Roman" w:hAnsi="Times New Roman" w:cs="Times New Roman"/>
                <w:iCs/>
              </w:rPr>
              <w:t>参比舱</w:t>
            </w:r>
            <w:r>
              <w:rPr>
                <w:rFonts w:hint="eastAsia" w:ascii="Times New Roman" w:hAnsi="Times New Roman" w:cs="Times New Roman"/>
                <w:iCs/>
                <w:lang w:val="en-US" w:eastAsia="zh-CN"/>
              </w:rPr>
              <w:t>气味样本</w:t>
            </w:r>
            <w:r>
              <w:rPr>
                <w:rFonts w:hint="eastAsia" w:ascii="Times New Roman" w:hAnsi="Times New Roman" w:cs="Times New Roman"/>
                <w:iCs/>
              </w:rPr>
              <w:t>气味强度值，级；</w:t>
            </w:r>
          </w:p>
          <w:p w14:paraId="58D66C68">
            <w:pPr>
              <w:widowControl/>
              <w:tabs>
                <w:tab w:val="center" w:pos="4201"/>
                <w:tab w:val="right" w:leader="dot" w:pos="9298"/>
              </w:tabs>
              <w:autoSpaceDE w:val="0"/>
              <w:autoSpaceDN w:val="0"/>
              <w:rPr>
                <w:rFonts w:ascii="Times New Roman" w:hAnsi="Times New Roman" w:cs="Times New Roman"/>
                <w:oMath/>
              </w:rPr>
            </w:pPr>
            <m:oMath>
              <m:sSub>
                <m:sSubPr>
                  <m:ctrlPr>
                    <w:rPr>
                      <w:rFonts w:ascii="Times New Roman" w:hAnsi="Times New Roman" w:eastAsia="宋体" w:cs="Times New Roman"/>
                      <w:kern w:val="0"/>
                      <w:szCs w:val="20"/>
                    </w:rPr>
                  </m:ctrlPr>
                </m:sSubPr>
                <m:e>
                  <m:r>
                    <m:rPr>
                      <m:sty m:val="p"/>
                    </m:rPr>
                    <w:rPr>
                      <w:rFonts w:ascii="Times New Roman" w:hAnsi="Times New Roman" w:eastAsia="宋体" w:cs="Times New Roman"/>
                      <w:kern w:val="0"/>
                      <w:szCs w:val="20"/>
                    </w:rPr>
                    <m:t>O</m:t>
                  </m:r>
                  <m:r>
                    <m:rPr>
                      <m:sty m:val="p"/>
                    </m:rPr>
                    <w:rPr>
                      <w:rFonts w:ascii="Cambria Math" w:hAnsi="Cambria Math" w:eastAsia="宋体" w:cs="Times New Roman"/>
                      <w:kern w:val="0"/>
                      <w:szCs w:val="20"/>
                    </w:rPr>
                    <m:t>I</m:t>
                  </m:r>
                  <m:ctrlPr>
                    <w:rPr>
                      <w:rFonts w:ascii="Times New Roman" w:hAnsi="Times New Roman" w:eastAsia="宋体" w:cs="Times New Roman"/>
                      <w:kern w:val="0"/>
                      <w:szCs w:val="20"/>
                    </w:rPr>
                  </m:ctrlPr>
                </m:e>
                <m:sub>
                  <m:r>
                    <m:rPr>
                      <m:nor/>
                      <m:sty m:val="p"/>
                    </m:rPr>
                    <w:rPr>
                      <w:rFonts w:hint="default" w:ascii="Times New Roman" w:hAnsi="Times New Roman" w:eastAsia="宋体" w:cs="Times New Roman"/>
                      <w:b w:val="0"/>
                      <w:i w:val="0"/>
                      <w:kern w:val="0"/>
                      <w:szCs w:val="20"/>
                      <w:lang w:val="en-US" w:eastAsia="zh-CN"/>
                    </w:rPr>
                    <m:t>S</m:t>
                  </m:r>
                  <m:ctrlPr>
                    <w:rPr>
                      <w:rFonts w:ascii="Times New Roman" w:hAnsi="Times New Roman" w:eastAsia="宋体" w:cs="Times New Roman"/>
                      <w:kern w:val="0"/>
                      <w:szCs w:val="20"/>
                    </w:rPr>
                  </m:ctrlPr>
                </m:sub>
              </m:sSub>
            </m:oMath>
            <w:r>
              <w:rPr>
                <w:rFonts w:hint="eastAsia" w:hAnsi="Cambria Math"/>
                <w:iCs/>
              </w:rPr>
              <w:t>—</w:t>
            </w:r>
            <w:r>
              <w:rPr>
                <w:rFonts w:hint="eastAsia" w:ascii="Times New Roman" w:hAnsi="Times New Roman" w:cs="Times New Roman"/>
                <w:iCs/>
              </w:rPr>
              <w:t>样品舱</w:t>
            </w:r>
            <w:r>
              <w:rPr>
                <w:rFonts w:hint="eastAsia" w:ascii="Times New Roman" w:hAnsi="Times New Roman" w:cs="Times New Roman"/>
                <w:iCs/>
                <w:lang w:val="en-US" w:eastAsia="zh-CN"/>
              </w:rPr>
              <w:t>气味样本</w:t>
            </w:r>
            <w:r>
              <w:rPr>
                <w:rFonts w:hint="eastAsia" w:ascii="Times New Roman" w:hAnsi="Times New Roman" w:cs="Times New Roman"/>
                <w:iCs/>
              </w:rPr>
              <w:t>气味强度值，级；</w:t>
            </w:r>
          </w:p>
        </w:tc>
        <w:tc>
          <w:tcPr>
            <w:tcW w:w="741" w:type="dxa"/>
          </w:tcPr>
          <w:p w14:paraId="21D9E3FE">
            <w:pPr>
              <w:widowControl/>
              <w:tabs>
                <w:tab w:val="center" w:pos="4201"/>
                <w:tab w:val="right" w:leader="dot" w:pos="9298"/>
              </w:tabs>
              <w:autoSpaceDE w:val="0"/>
              <w:autoSpaceDN w:val="0"/>
              <w:rPr>
                <w:rFonts w:ascii="Times New Roman"/>
              </w:rPr>
            </w:pPr>
          </w:p>
        </w:tc>
      </w:tr>
    </w:tbl>
    <w:p w14:paraId="1E591CF4">
      <w:pPr>
        <w:pStyle w:val="29"/>
        <w:numPr>
          <w:ilvl w:val="0"/>
          <w:numId w:val="3"/>
        </w:numPr>
        <w:spacing w:before="312" w:beforeLines="100" w:after="312" w:afterLines="100"/>
        <w:rPr>
          <w:rFonts w:ascii="Times New Roman"/>
        </w:rPr>
      </w:pPr>
      <w:r>
        <w:rPr>
          <w:rFonts w:hint="eastAsia" w:ascii="Times New Roman"/>
        </w:rPr>
        <w:t>试验报告</w:t>
      </w:r>
      <w:bookmarkEnd w:id="36"/>
    </w:p>
    <w:p w14:paraId="5BB88A1D">
      <w:pPr>
        <w:pStyle w:val="26"/>
        <w:ind w:firstLine="420"/>
      </w:pPr>
      <w:r>
        <w:rPr>
          <w:rFonts w:hint="eastAsia"/>
        </w:rPr>
        <w:t>试验报告至少应包括下述内容：</w:t>
      </w:r>
    </w:p>
    <w:p w14:paraId="519773B2">
      <w:pPr>
        <w:pStyle w:val="26"/>
        <w:ind w:firstLine="420"/>
        <w:jc w:val="left"/>
      </w:pPr>
      <w:r>
        <w:rPr>
          <w:rFonts w:hint="eastAsia"/>
        </w:rPr>
        <w:t>a）测试时间、地点及测试依据；</w:t>
      </w:r>
    </w:p>
    <w:p w14:paraId="3A3E427D">
      <w:pPr>
        <w:pStyle w:val="26"/>
        <w:ind w:firstLine="420"/>
        <w:jc w:val="left"/>
      </w:pPr>
      <w:r>
        <w:rPr>
          <w:rFonts w:hint="eastAsia"/>
        </w:rPr>
        <w:t>b）试验样品名称、生产单位及批号；</w:t>
      </w:r>
    </w:p>
    <w:p w14:paraId="344B8F18">
      <w:pPr>
        <w:pStyle w:val="26"/>
        <w:ind w:firstLine="420"/>
        <w:jc w:val="left"/>
        <w:rPr>
          <w:rFonts w:hint="eastAsia" w:eastAsia="宋体"/>
          <w:lang w:eastAsia="zh-CN"/>
        </w:rPr>
      </w:pPr>
      <w:r>
        <w:rPr>
          <w:rFonts w:hint="eastAsia"/>
        </w:rPr>
        <w:t>c）试验样品的养护时间及条件</w:t>
      </w:r>
      <w:r>
        <w:rPr>
          <w:rFonts w:hint="eastAsia"/>
          <w:lang w:eastAsia="zh-CN"/>
        </w:rPr>
        <w:t>；</w:t>
      </w:r>
    </w:p>
    <w:p w14:paraId="1FF7DBAE">
      <w:pPr>
        <w:pStyle w:val="26"/>
        <w:ind w:firstLine="420"/>
        <w:jc w:val="left"/>
        <w:rPr>
          <w:rFonts w:hint="default" w:eastAsia="宋体"/>
          <w:lang w:val="en-US" w:eastAsia="zh-CN"/>
        </w:rPr>
      </w:pPr>
      <w:r>
        <w:t>d</w:t>
      </w:r>
      <w:r>
        <w:rPr>
          <w:rFonts w:hint="eastAsia"/>
        </w:rPr>
        <w:t>）</w:t>
      </w:r>
      <w:r>
        <w:rPr>
          <w:rFonts w:hint="eastAsia"/>
          <w:lang w:val="en-US" w:eastAsia="zh-CN"/>
        </w:rPr>
        <w:t>测试所用模拟气味溶液中气味物质的化学物质名称及CAS号；</w:t>
      </w:r>
    </w:p>
    <w:p w14:paraId="15C7D63C">
      <w:pPr>
        <w:pStyle w:val="26"/>
        <w:ind w:firstLine="420"/>
        <w:jc w:val="left"/>
      </w:pPr>
      <w:r>
        <w:rPr>
          <w:rFonts w:hint="eastAsia"/>
          <w:lang w:val="en-US" w:eastAsia="zh-CN"/>
        </w:rPr>
        <w:t>e</w:t>
      </w:r>
      <w:r>
        <w:rPr>
          <w:rFonts w:hint="eastAsia"/>
        </w:rPr>
        <w:t>）测试结果包括测试得到的参比试验舱和试验舱的气味强度差值；</w:t>
      </w:r>
    </w:p>
    <w:p w14:paraId="2E727951">
      <w:pPr>
        <w:pStyle w:val="26"/>
        <w:ind w:firstLine="420"/>
      </w:pPr>
      <w:r>
        <w:rPr>
          <w:rFonts w:hint="eastAsia"/>
          <w:lang w:val="en-US" w:eastAsia="zh-CN"/>
        </w:rPr>
        <w:t>f</w:t>
      </w:r>
      <w:r>
        <w:rPr>
          <w:rFonts w:hint="eastAsia"/>
        </w:rPr>
        <w:t>）任何偏离本文件的操作或者有可能影响测定结果的可变环境因子。</w:t>
      </w:r>
    </w:p>
    <w:p w14:paraId="78A4DC45">
      <w:pPr>
        <w:widowControl/>
        <w:jc w:val="left"/>
        <w:rPr>
          <w:rFonts w:ascii="宋体" w:hAnsi="Times New Roman" w:eastAsia="宋体" w:cs="Times New Roman"/>
          <w:kern w:val="0"/>
          <w:szCs w:val="20"/>
        </w:rPr>
      </w:pPr>
      <w:r>
        <w:rPr>
          <w:rFonts w:ascii="宋体" w:hAnsi="Times New Roman" w:eastAsia="宋体" w:cs="Times New Roman"/>
          <w:kern w:val="0"/>
          <w:szCs w:val="20"/>
        </w:rPr>
        <w:br w:type="page"/>
      </w:r>
    </w:p>
    <w:p w14:paraId="67A34254">
      <w:pPr>
        <w:widowControl/>
        <w:tabs>
          <w:tab w:val="center" w:pos="4201"/>
          <w:tab w:val="right" w:leader="dot" w:pos="9298"/>
        </w:tabs>
        <w:autoSpaceDE w:val="0"/>
        <w:autoSpaceDN w:val="0"/>
        <w:spacing w:line="360" w:lineRule="auto"/>
        <w:jc w:val="center"/>
        <w:outlineLvl w:val="0"/>
        <w:rPr>
          <w:rFonts w:ascii="Times New Roman" w:hAnsi="Times New Roman" w:eastAsia="黑体" w:cs="Times New Roman"/>
          <w:kern w:val="0"/>
          <w:szCs w:val="20"/>
        </w:rPr>
      </w:pPr>
      <w:bookmarkStart w:id="37" w:name="_Toc23331"/>
      <w:r>
        <w:rPr>
          <w:rFonts w:ascii="Times New Roman" w:hAnsi="Times New Roman" w:eastAsia="黑体" w:cs="Times New Roman"/>
          <w:kern w:val="0"/>
          <w:szCs w:val="20"/>
        </w:rPr>
        <w:t>附录A</w:t>
      </w:r>
      <w:r>
        <w:rPr>
          <w:rFonts w:ascii="Times New Roman" w:hAnsi="Times New Roman" w:eastAsia="黑体" w:cs="Times New Roman"/>
          <w:kern w:val="0"/>
          <w:szCs w:val="20"/>
        </w:rPr>
        <w:br w:type="textWrapping"/>
      </w:r>
      <w:r>
        <w:rPr>
          <w:rFonts w:ascii="Times New Roman" w:hAnsi="Times New Roman" w:eastAsia="黑体" w:cs="Times New Roman"/>
          <w:kern w:val="0"/>
          <w:szCs w:val="20"/>
        </w:rPr>
        <w:t>(规范性)</w:t>
      </w:r>
      <w:r>
        <w:rPr>
          <w:rFonts w:ascii="Times New Roman" w:hAnsi="Times New Roman" w:eastAsia="黑体" w:cs="Times New Roman"/>
          <w:kern w:val="0"/>
          <w:szCs w:val="20"/>
        </w:rPr>
        <w:br w:type="textWrapping"/>
      </w:r>
      <w:r>
        <w:rPr>
          <w:rFonts w:ascii="Times New Roman" w:hAnsi="Times New Roman" w:eastAsia="黑体" w:cs="Times New Roman"/>
          <w:kern w:val="0"/>
          <w:szCs w:val="20"/>
        </w:rPr>
        <w:t>试样制备方法</w:t>
      </w:r>
      <w:bookmarkEnd w:id="37"/>
    </w:p>
    <w:p w14:paraId="7D349177">
      <w:pPr>
        <w:widowControl/>
        <w:tabs>
          <w:tab w:val="center" w:pos="4201"/>
          <w:tab w:val="right" w:leader="dot" w:pos="9298"/>
        </w:tabs>
        <w:autoSpaceDE w:val="0"/>
        <w:autoSpaceDN w:val="0"/>
        <w:spacing w:line="360" w:lineRule="auto"/>
        <w:rPr>
          <w:rFonts w:ascii="黑体" w:hAnsi="黑体" w:eastAsia="黑体" w:cs="黑体"/>
          <w:kern w:val="0"/>
          <w:szCs w:val="20"/>
        </w:rPr>
      </w:pPr>
      <w:r>
        <w:rPr>
          <w:rFonts w:hint="eastAsia" w:ascii="黑体" w:hAnsi="黑体" w:eastAsia="黑体" w:cs="黑体"/>
          <w:kern w:val="0"/>
          <w:szCs w:val="20"/>
        </w:rPr>
        <w:t>A.1 材料和设备</w:t>
      </w:r>
    </w:p>
    <w:p w14:paraId="64BD7338">
      <w:pPr>
        <w:widowControl/>
        <w:tabs>
          <w:tab w:val="center" w:pos="4201"/>
          <w:tab w:val="right" w:leader="dot" w:pos="9298"/>
        </w:tabs>
        <w:autoSpaceDE w:val="0"/>
        <w:autoSpaceDN w:val="0"/>
        <w:spacing w:line="360" w:lineRule="auto"/>
        <w:rPr>
          <w:rFonts w:ascii="黑体" w:hAnsi="黑体" w:eastAsia="黑体" w:cs="黑体"/>
          <w:kern w:val="0"/>
          <w:szCs w:val="20"/>
        </w:rPr>
      </w:pPr>
      <w:r>
        <w:rPr>
          <w:rFonts w:hint="eastAsia" w:ascii="黑体" w:hAnsi="黑体" w:eastAsia="黑体" w:cs="黑体"/>
          <w:kern w:val="0"/>
          <w:szCs w:val="20"/>
        </w:rPr>
        <w:t>A.1.1 基材</w:t>
      </w:r>
    </w:p>
    <w:p w14:paraId="52FA2840">
      <w:pPr>
        <w:widowControl/>
        <w:tabs>
          <w:tab w:val="center" w:pos="4201"/>
          <w:tab w:val="right" w:leader="dot" w:pos="9298"/>
        </w:tabs>
        <w:autoSpaceDE w:val="0"/>
        <w:autoSpaceDN w:val="0"/>
        <w:ind w:firstLine="420" w:firstLineChars="200"/>
        <w:rPr>
          <w:rFonts w:ascii="Times New Roman" w:hAnsi="Times New Roman" w:cs="Times New Roman"/>
          <w:kern w:val="0"/>
          <w:szCs w:val="20"/>
        </w:rPr>
      </w:pPr>
      <w:r>
        <w:rPr>
          <w:rFonts w:ascii="Times New Roman" w:hAnsi="Times New Roman" w:cs="Times New Roman"/>
          <w:kern w:val="0"/>
          <w:szCs w:val="20"/>
        </w:rPr>
        <w:t>无味且化学惰性，如玻璃、聚四氟乙烯、不锈钢材质的平板，平板尺寸为500mm×500mm。</w:t>
      </w:r>
    </w:p>
    <w:p w14:paraId="61E6F138">
      <w:pPr>
        <w:widowControl/>
        <w:tabs>
          <w:tab w:val="center" w:pos="4201"/>
          <w:tab w:val="right" w:leader="dot" w:pos="9298"/>
        </w:tabs>
        <w:autoSpaceDE w:val="0"/>
        <w:autoSpaceDN w:val="0"/>
        <w:spacing w:line="360" w:lineRule="auto"/>
        <w:rPr>
          <w:rFonts w:ascii="黑体" w:hAnsi="黑体" w:eastAsia="黑体" w:cs="黑体"/>
          <w:kern w:val="0"/>
          <w:szCs w:val="20"/>
        </w:rPr>
      </w:pPr>
      <w:r>
        <w:rPr>
          <w:rFonts w:hint="eastAsia" w:ascii="黑体" w:hAnsi="黑体" w:eastAsia="黑体" w:cs="黑体"/>
          <w:kern w:val="0"/>
          <w:szCs w:val="20"/>
        </w:rPr>
        <w:t xml:space="preserve">A.1.2 </w:t>
      </w:r>
      <w:r>
        <w:rPr>
          <w:rFonts w:ascii="黑体" w:hAnsi="黑体" w:eastAsia="黑体" w:cs="黑体"/>
          <w:kern w:val="0"/>
          <w:szCs w:val="20"/>
        </w:rPr>
        <w:t>涂布工具</w:t>
      </w:r>
    </w:p>
    <w:p w14:paraId="73C0E69B">
      <w:pPr>
        <w:widowControl/>
        <w:tabs>
          <w:tab w:val="center" w:pos="4201"/>
          <w:tab w:val="right" w:leader="dot" w:pos="9298"/>
        </w:tabs>
        <w:autoSpaceDE w:val="0"/>
        <w:autoSpaceDN w:val="0"/>
        <w:ind w:firstLine="420" w:firstLineChars="200"/>
        <w:rPr>
          <w:rFonts w:ascii="Times New Roman" w:hAnsi="Times New Roman" w:cs="Times New Roman"/>
          <w:kern w:val="0"/>
          <w:szCs w:val="20"/>
        </w:rPr>
      </w:pPr>
      <w:r>
        <w:rPr>
          <w:rFonts w:ascii="Times New Roman" w:hAnsi="Times New Roman" w:cs="Times New Roman"/>
          <w:kern w:val="0"/>
          <w:szCs w:val="20"/>
        </w:rPr>
        <w:t>能够使液态样品均匀平整的涂刷于基材上，可以选择刷子、喷枪、滚轮等工具。</w:t>
      </w:r>
    </w:p>
    <w:p w14:paraId="4A5BAC6A">
      <w:pPr>
        <w:widowControl/>
        <w:tabs>
          <w:tab w:val="center" w:pos="4201"/>
          <w:tab w:val="right" w:leader="dot" w:pos="9298"/>
        </w:tabs>
        <w:autoSpaceDE w:val="0"/>
        <w:autoSpaceDN w:val="0"/>
        <w:spacing w:line="360" w:lineRule="auto"/>
        <w:rPr>
          <w:rFonts w:ascii="黑体" w:hAnsi="黑体" w:eastAsia="黑体" w:cs="黑体"/>
          <w:kern w:val="0"/>
          <w:szCs w:val="20"/>
        </w:rPr>
      </w:pPr>
      <w:r>
        <w:rPr>
          <w:rFonts w:hint="eastAsia" w:ascii="黑体" w:hAnsi="黑体" w:eastAsia="黑体" w:cs="黑体"/>
          <w:kern w:val="0"/>
          <w:szCs w:val="20"/>
        </w:rPr>
        <w:t xml:space="preserve">A.1.3 </w:t>
      </w:r>
      <w:r>
        <w:rPr>
          <w:rFonts w:ascii="黑体" w:hAnsi="黑体" w:eastAsia="黑体" w:cs="黑体"/>
          <w:kern w:val="0"/>
          <w:szCs w:val="20"/>
        </w:rPr>
        <w:t>试样皿</w:t>
      </w:r>
    </w:p>
    <w:p w14:paraId="39F22BC2">
      <w:pPr>
        <w:widowControl/>
        <w:tabs>
          <w:tab w:val="center" w:pos="4201"/>
          <w:tab w:val="right" w:leader="dot" w:pos="9298"/>
        </w:tabs>
        <w:autoSpaceDE w:val="0"/>
        <w:autoSpaceDN w:val="0"/>
        <w:ind w:firstLine="420" w:firstLineChars="200"/>
        <w:rPr>
          <w:rFonts w:ascii="Times New Roman" w:hAnsi="Times New Roman" w:cs="Times New Roman"/>
          <w:kern w:val="0"/>
          <w:szCs w:val="20"/>
        </w:rPr>
      </w:pPr>
      <w:r>
        <w:rPr>
          <w:rFonts w:ascii="Times New Roman" w:hAnsi="Times New Roman" w:cs="Times New Roman"/>
          <w:kern w:val="0"/>
          <w:szCs w:val="20"/>
        </w:rPr>
        <w:t>试样皿材质为聚四氟乙烯、不锈钢等惰性材料，底部尺寸为500mm×500mm。</w:t>
      </w:r>
    </w:p>
    <w:p w14:paraId="1A8595BC">
      <w:pPr>
        <w:ind w:firstLine="424" w:firstLineChars="202"/>
        <w:jc w:val="center"/>
      </w:pPr>
      <w:r>
        <w:rPr>
          <w:rFonts w:hint="eastAsia"/>
        </w:rPr>
        <w:drawing>
          <wp:inline distT="0" distB="0" distL="114300" distR="114300">
            <wp:extent cx="4048125" cy="1448435"/>
            <wp:effectExtent l="0" t="0" r="9525" b="18415"/>
            <wp:docPr id="1" name="图片 1" descr="演示文稿1_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演示文稿1_01(2)"/>
                    <pic:cNvPicPr>
                      <a:picLocks noChangeAspect="1"/>
                    </pic:cNvPicPr>
                  </pic:nvPicPr>
                  <pic:blipFill>
                    <a:blip r:embed="rId14"/>
                    <a:srcRect l="13824" t="28498" r="17914" b="28079"/>
                    <a:stretch>
                      <a:fillRect/>
                    </a:stretch>
                  </pic:blipFill>
                  <pic:spPr>
                    <a:xfrm>
                      <a:off x="0" y="0"/>
                      <a:ext cx="4048125" cy="1448435"/>
                    </a:xfrm>
                    <a:prstGeom prst="rect">
                      <a:avLst/>
                    </a:prstGeom>
                  </pic:spPr>
                </pic:pic>
              </a:graphicData>
            </a:graphic>
          </wp:inline>
        </w:drawing>
      </w:r>
    </w:p>
    <w:p w14:paraId="11CE0220">
      <w:pPr>
        <w:widowControl/>
        <w:numPr>
          <w:ilvl w:val="1"/>
          <w:numId w:val="4"/>
        </w:numPr>
        <w:snapToGrid w:val="0"/>
        <w:spacing w:before="156" w:beforeLines="50" w:after="156" w:afterLines="50"/>
        <w:jc w:val="center"/>
        <w:rPr>
          <w:rFonts w:ascii="黑体" w:hAnsi="Times New Roman" w:eastAsia="黑体"/>
          <w:kern w:val="0"/>
          <w:szCs w:val="20"/>
        </w:rPr>
      </w:pPr>
      <w:r>
        <w:rPr>
          <w:rFonts w:hint="eastAsia" w:ascii="黑体" w:hAnsi="Times New Roman" w:eastAsia="黑体"/>
          <w:kern w:val="0"/>
          <w:szCs w:val="20"/>
        </w:rPr>
        <w:t>试样皿示意图</w:t>
      </w:r>
    </w:p>
    <w:p w14:paraId="27343B47">
      <w:pPr>
        <w:widowControl/>
        <w:tabs>
          <w:tab w:val="center" w:pos="4201"/>
          <w:tab w:val="right" w:leader="dot" w:pos="9298"/>
        </w:tabs>
        <w:autoSpaceDE w:val="0"/>
        <w:autoSpaceDN w:val="0"/>
        <w:spacing w:line="360" w:lineRule="auto"/>
        <w:rPr>
          <w:rFonts w:ascii="黑体" w:hAnsi="黑体" w:eastAsia="黑体" w:cs="黑体"/>
          <w:kern w:val="0"/>
          <w:szCs w:val="20"/>
        </w:rPr>
      </w:pPr>
      <w:r>
        <w:rPr>
          <w:rFonts w:hint="eastAsia" w:ascii="黑体" w:hAnsi="黑体" w:eastAsia="黑体" w:cs="黑体"/>
          <w:kern w:val="0"/>
          <w:szCs w:val="20"/>
        </w:rPr>
        <w:t>A.1.4 钢直尺或卷尺</w:t>
      </w:r>
    </w:p>
    <w:p w14:paraId="19D2C85F">
      <w:pPr>
        <w:widowControl/>
        <w:tabs>
          <w:tab w:val="center" w:pos="4201"/>
          <w:tab w:val="right" w:leader="dot" w:pos="9298"/>
        </w:tabs>
        <w:autoSpaceDE w:val="0"/>
        <w:autoSpaceDN w:val="0"/>
        <w:ind w:firstLine="420" w:firstLineChars="200"/>
        <w:rPr>
          <w:rFonts w:ascii="Times New Roman" w:hAnsi="Times New Roman" w:eastAsia="黑体"/>
          <w:kern w:val="0"/>
          <w:szCs w:val="24"/>
        </w:rPr>
      </w:pPr>
      <w:r>
        <w:rPr>
          <w:rFonts w:ascii="Times New Roman" w:hAnsi="Times New Roman"/>
          <w:kern w:val="0"/>
          <w:szCs w:val="20"/>
        </w:rPr>
        <w:t>分度值为1 mm</w:t>
      </w:r>
      <w:r>
        <w:rPr>
          <w:rFonts w:hint="eastAsia" w:ascii="Times New Roman" w:hAnsi="Times New Roman"/>
          <w:kern w:val="0"/>
          <w:szCs w:val="20"/>
        </w:rPr>
        <w:t>。</w:t>
      </w:r>
    </w:p>
    <w:p w14:paraId="465D931E">
      <w:pPr>
        <w:widowControl/>
        <w:tabs>
          <w:tab w:val="center" w:pos="4201"/>
          <w:tab w:val="right" w:leader="dot" w:pos="9298"/>
        </w:tabs>
        <w:autoSpaceDE w:val="0"/>
        <w:autoSpaceDN w:val="0"/>
        <w:spacing w:line="360" w:lineRule="auto"/>
        <w:rPr>
          <w:rFonts w:hint="eastAsia" w:ascii="黑体" w:hAnsi="黑体" w:eastAsia="黑体" w:cs="黑体"/>
          <w:kern w:val="0"/>
          <w:szCs w:val="20"/>
          <w:lang w:eastAsia="zh-CN"/>
        </w:rPr>
      </w:pPr>
      <w:r>
        <w:rPr>
          <w:rFonts w:hint="eastAsia" w:ascii="黑体" w:hAnsi="黑体" w:eastAsia="黑体" w:cs="黑体"/>
          <w:kern w:val="0"/>
          <w:szCs w:val="20"/>
        </w:rPr>
        <w:t xml:space="preserve">A.2 </w:t>
      </w:r>
      <w:r>
        <w:rPr>
          <w:rFonts w:hint="eastAsia" w:ascii="黑体" w:hAnsi="黑体" w:eastAsia="黑体" w:cs="黑体"/>
          <w:kern w:val="0"/>
          <w:szCs w:val="20"/>
          <w:lang w:val="en-US" w:eastAsia="zh-CN"/>
        </w:rPr>
        <w:t>涂覆类产品</w:t>
      </w:r>
    </w:p>
    <w:p w14:paraId="1CCE5855">
      <w:pPr>
        <w:widowControl/>
        <w:autoSpaceDE w:val="0"/>
        <w:autoSpaceDN w:val="0"/>
        <w:snapToGrid w:val="0"/>
        <w:ind w:firstLine="420" w:firstLineChars="200"/>
        <w:rPr>
          <w:rFonts w:hint="eastAsia" w:ascii="Times New Roman" w:hAnsi="Times New Roman"/>
          <w:kern w:val="0"/>
          <w:szCs w:val="20"/>
          <w:highlight w:val="none"/>
        </w:rPr>
      </w:pPr>
      <w:r>
        <w:rPr>
          <w:rFonts w:hint="eastAsia" w:ascii="Times New Roman" w:hAnsi="Times New Roman"/>
          <w:kern w:val="0"/>
          <w:szCs w:val="20"/>
          <w:highlight w:val="none"/>
        </w:rPr>
        <w:t>单组份产品混匀后直接取样，多组份产品应按产品说明书中规定的配比或实际使用时的配比混合各组分至均匀后取样</w:t>
      </w:r>
      <w:r>
        <w:rPr>
          <w:rFonts w:hint="eastAsia" w:ascii="Times New Roman" w:hAnsi="Times New Roman"/>
          <w:kern w:val="0"/>
          <w:szCs w:val="20"/>
          <w:highlight w:val="none"/>
          <w:lang w:eastAsia="zh-CN"/>
        </w:rPr>
        <w:t>。</w:t>
      </w:r>
      <w:r>
        <w:rPr>
          <w:rFonts w:hint="eastAsia" w:ascii="Times New Roman" w:hAnsi="Times New Roman"/>
          <w:kern w:val="0"/>
          <w:szCs w:val="20"/>
          <w:highlight w:val="none"/>
        </w:rPr>
        <w:t>若其中任一组分的使用量为某一范围时，应按照最小使用量进行配比混合。</w:t>
      </w:r>
    </w:p>
    <w:p w14:paraId="0EE1BEFE">
      <w:pPr>
        <w:widowControl/>
        <w:autoSpaceDE w:val="0"/>
        <w:autoSpaceDN w:val="0"/>
        <w:snapToGrid w:val="0"/>
        <w:ind w:firstLine="420" w:firstLineChars="200"/>
        <w:rPr>
          <w:rFonts w:ascii="Times New Roman" w:hAnsi="Times New Roman"/>
          <w:kern w:val="0"/>
          <w:szCs w:val="20"/>
          <w:highlight w:val="none"/>
        </w:rPr>
      </w:pPr>
      <w:r>
        <w:rPr>
          <w:rFonts w:hint="eastAsia" w:ascii="Times New Roman" w:hAnsi="Times New Roman"/>
          <w:kern w:val="0"/>
          <w:szCs w:val="20"/>
        </w:rPr>
        <w:t>按照生产商提供</w:t>
      </w:r>
      <w:r>
        <w:rPr>
          <w:rFonts w:hint="eastAsia" w:ascii="Times New Roman" w:hAnsi="Times New Roman"/>
          <w:kern w:val="0"/>
          <w:szCs w:val="20"/>
          <w:lang w:val="en-US" w:eastAsia="zh-CN"/>
        </w:rPr>
        <w:t>的涂覆量，</w:t>
      </w:r>
      <w:r>
        <w:rPr>
          <w:rFonts w:ascii="Times New Roman" w:hAnsi="Times New Roman"/>
          <w:kern w:val="0"/>
          <w:szCs w:val="20"/>
          <w:highlight w:val="none"/>
        </w:rPr>
        <w:t>使用涂布工具（</w:t>
      </w:r>
      <w:r>
        <w:rPr>
          <w:rFonts w:hint="eastAsia" w:ascii="Times New Roman" w:hAnsi="Times New Roman"/>
          <w:kern w:val="0"/>
          <w:szCs w:val="20"/>
          <w:highlight w:val="none"/>
        </w:rPr>
        <w:t>A.</w:t>
      </w:r>
      <w:r>
        <w:rPr>
          <w:rFonts w:ascii="Times New Roman" w:hAnsi="Times New Roman"/>
          <w:kern w:val="0"/>
          <w:szCs w:val="20"/>
          <w:highlight w:val="none"/>
        </w:rPr>
        <w:t>1.2）将待测试样均匀涂刷在基材</w:t>
      </w:r>
      <w:r>
        <w:rPr>
          <w:rFonts w:hint="eastAsia" w:ascii="Times New Roman" w:hAnsi="Times New Roman"/>
          <w:kern w:val="0"/>
          <w:szCs w:val="20"/>
          <w:highlight w:val="none"/>
          <w:lang w:eastAsia="zh-CN"/>
        </w:rPr>
        <w:t>（</w:t>
      </w:r>
      <w:r>
        <w:rPr>
          <w:rFonts w:hint="eastAsia" w:ascii="Times New Roman" w:hAnsi="Times New Roman"/>
          <w:kern w:val="0"/>
          <w:szCs w:val="20"/>
          <w:highlight w:val="none"/>
          <w:lang w:val="en-US" w:eastAsia="zh-CN"/>
        </w:rPr>
        <w:t>A.1.1</w:t>
      </w:r>
      <w:r>
        <w:rPr>
          <w:rFonts w:hint="eastAsia" w:ascii="Times New Roman" w:hAnsi="Times New Roman"/>
          <w:kern w:val="0"/>
          <w:szCs w:val="20"/>
          <w:highlight w:val="none"/>
          <w:lang w:eastAsia="zh-CN"/>
        </w:rPr>
        <w:t>）</w:t>
      </w:r>
      <w:r>
        <w:rPr>
          <w:rFonts w:ascii="Times New Roman" w:hAnsi="Times New Roman"/>
          <w:kern w:val="0"/>
          <w:szCs w:val="20"/>
          <w:highlight w:val="none"/>
        </w:rPr>
        <w:t>上</w:t>
      </w:r>
      <w:r>
        <w:rPr>
          <w:rFonts w:hint="eastAsia" w:ascii="Times New Roman" w:hAnsi="Times New Roman"/>
          <w:kern w:val="0"/>
          <w:szCs w:val="20"/>
          <w:highlight w:val="none"/>
          <w:lang w:eastAsia="zh-CN"/>
        </w:rPr>
        <w:t>，</w:t>
      </w:r>
      <w:r>
        <w:rPr>
          <w:rFonts w:hint="eastAsia" w:ascii="Times New Roman" w:hAnsi="Times New Roman"/>
          <w:kern w:val="0"/>
          <w:szCs w:val="20"/>
        </w:rPr>
        <w:t>如无法提供，</w:t>
      </w:r>
      <w:r>
        <w:rPr>
          <w:rFonts w:hint="eastAsia" w:ascii="Times New Roman" w:hAnsi="Times New Roman"/>
          <w:kern w:val="0"/>
          <w:szCs w:val="20"/>
          <w:lang w:val="en-US" w:eastAsia="zh-CN"/>
        </w:rPr>
        <w:t>涂覆量按照</w:t>
      </w:r>
      <w:r>
        <w:rPr>
          <w:rFonts w:hint="eastAsia" w:ascii="Times New Roman" w:hAnsi="Times New Roman"/>
          <w:kern w:val="0"/>
          <w:szCs w:val="20"/>
        </w:rPr>
        <w:t>（250±2）g/m</w:t>
      </w:r>
      <w:r>
        <w:rPr>
          <w:rFonts w:hint="eastAsia" w:ascii="Times New Roman" w:hAnsi="Times New Roman"/>
          <w:kern w:val="0"/>
          <w:szCs w:val="20"/>
          <w:vertAlign w:val="superscript"/>
        </w:rPr>
        <w:t>2</w:t>
      </w:r>
      <w:r>
        <w:rPr>
          <w:rFonts w:hint="eastAsia" w:ascii="Times New Roman" w:hAnsi="Times New Roman"/>
          <w:kern w:val="0"/>
          <w:szCs w:val="20"/>
          <w:vertAlign w:val="baseline"/>
          <w:lang w:val="en-US" w:eastAsia="zh-CN"/>
        </w:rPr>
        <w:t>执行</w:t>
      </w:r>
      <w:r>
        <w:rPr>
          <w:rFonts w:hint="eastAsia" w:ascii="Times New Roman" w:hAnsi="Times New Roman"/>
          <w:kern w:val="0"/>
          <w:szCs w:val="20"/>
          <w:highlight w:val="none"/>
        </w:rPr>
        <w:t>。</w:t>
      </w:r>
    </w:p>
    <w:p w14:paraId="64FF7EA0">
      <w:pPr>
        <w:widowControl/>
        <w:tabs>
          <w:tab w:val="center" w:pos="4201"/>
          <w:tab w:val="right" w:leader="dot" w:pos="9298"/>
        </w:tabs>
        <w:autoSpaceDE w:val="0"/>
        <w:autoSpaceDN w:val="0"/>
        <w:spacing w:line="360" w:lineRule="auto"/>
        <w:rPr>
          <w:rFonts w:hint="default" w:ascii="黑体" w:hAnsi="黑体" w:eastAsia="黑体" w:cs="黑体"/>
          <w:kern w:val="0"/>
          <w:szCs w:val="20"/>
          <w:lang w:val="en-US"/>
        </w:rPr>
      </w:pPr>
      <w:r>
        <w:rPr>
          <w:rFonts w:hint="eastAsia" w:ascii="黑体" w:hAnsi="黑体" w:eastAsia="黑体" w:cs="黑体"/>
          <w:kern w:val="0"/>
          <w:szCs w:val="20"/>
        </w:rPr>
        <w:t>A.</w:t>
      </w:r>
      <w:r>
        <w:rPr>
          <w:rFonts w:hint="eastAsia" w:ascii="黑体" w:hAnsi="黑体" w:eastAsia="黑体" w:cs="黑体"/>
          <w:kern w:val="0"/>
          <w:szCs w:val="20"/>
          <w:lang w:val="en-US" w:eastAsia="zh-CN"/>
        </w:rPr>
        <w:t>3</w:t>
      </w:r>
      <w:r>
        <w:rPr>
          <w:rFonts w:hint="eastAsia" w:ascii="黑体" w:hAnsi="黑体" w:eastAsia="黑体" w:cs="黑体"/>
          <w:kern w:val="0"/>
          <w:szCs w:val="20"/>
        </w:rPr>
        <w:t xml:space="preserve"> </w:t>
      </w:r>
      <w:r>
        <w:rPr>
          <w:rFonts w:hint="eastAsia" w:ascii="黑体" w:hAnsi="黑体" w:eastAsia="黑体" w:cs="黑体"/>
          <w:kern w:val="0"/>
          <w:szCs w:val="20"/>
          <w:lang w:val="en-US" w:eastAsia="zh-CN"/>
        </w:rPr>
        <w:t>喷剂类产品</w:t>
      </w:r>
    </w:p>
    <w:p w14:paraId="29149697">
      <w:pPr>
        <w:widowControl/>
        <w:autoSpaceDE w:val="0"/>
        <w:autoSpaceDN w:val="0"/>
        <w:snapToGrid w:val="0"/>
        <w:ind w:firstLine="420" w:firstLineChars="200"/>
        <w:rPr>
          <w:rFonts w:hint="eastAsia" w:ascii="Times New Roman" w:hAnsi="Times New Roman"/>
          <w:kern w:val="0"/>
          <w:szCs w:val="20"/>
          <w:vertAlign w:val="baseline"/>
          <w:lang w:val="en-US" w:eastAsia="zh-CN"/>
        </w:rPr>
      </w:pPr>
      <w:r>
        <w:rPr>
          <w:rFonts w:hint="eastAsia" w:ascii="Times New Roman" w:hAnsi="Times New Roman"/>
          <w:kern w:val="0"/>
          <w:szCs w:val="20"/>
          <w:vertAlign w:val="baseline"/>
          <w:lang w:val="en-US" w:eastAsia="zh-CN"/>
        </w:rPr>
        <w:t>按照产品说明进行操作取样，应至少弃去喷出的前10g样品。</w:t>
      </w:r>
    </w:p>
    <w:p w14:paraId="1835A227">
      <w:pPr>
        <w:widowControl/>
        <w:autoSpaceDE w:val="0"/>
        <w:autoSpaceDN w:val="0"/>
        <w:snapToGrid w:val="0"/>
        <w:ind w:firstLine="420" w:firstLineChars="200"/>
        <w:rPr>
          <w:rFonts w:hint="eastAsia" w:ascii="Times New Roman" w:hAnsi="Times New Roman"/>
          <w:kern w:val="0"/>
          <w:szCs w:val="20"/>
          <w:vertAlign w:val="baseline"/>
          <w:lang w:val="en-US" w:eastAsia="zh-CN"/>
        </w:rPr>
      </w:pPr>
      <w:r>
        <w:rPr>
          <w:rFonts w:hint="eastAsia" w:ascii="Times New Roman" w:hAnsi="Times New Roman"/>
          <w:kern w:val="0"/>
          <w:szCs w:val="20"/>
          <w:vertAlign w:val="baseline"/>
          <w:lang w:val="en-US" w:eastAsia="zh-CN"/>
        </w:rPr>
        <w:t>按照生产商提供的单位面积喷涂量，将产品喷涂于试样皿中，如无法提供，涂覆量按照（</w:t>
      </w:r>
      <w:r>
        <w:rPr>
          <w:rFonts w:hint="eastAsia" w:ascii="Times New Roman" w:hAnsi="Times New Roman"/>
          <w:kern w:val="0"/>
          <w:szCs w:val="20"/>
        </w:rPr>
        <w:t>60±2）g/m</w:t>
      </w:r>
      <w:r>
        <w:rPr>
          <w:rFonts w:hint="eastAsia" w:ascii="Times New Roman" w:hAnsi="Times New Roman"/>
          <w:kern w:val="0"/>
          <w:szCs w:val="20"/>
          <w:vertAlign w:val="superscript"/>
        </w:rPr>
        <w:t>2</w:t>
      </w:r>
      <w:r>
        <w:rPr>
          <w:rFonts w:hint="eastAsia" w:ascii="Times New Roman" w:hAnsi="Times New Roman"/>
          <w:kern w:val="0"/>
          <w:szCs w:val="20"/>
          <w:vertAlign w:val="baseline"/>
          <w:lang w:val="en-US" w:eastAsia="zh-CN"/>
        </w:rPr>
        <w:t>执行。</w:t>
      </w:r>
    </w:p>
    <w:p w14:paraId="1FE57E5D">
      <w:pPr>
        <w:widowControl/>
        <w:tabs>
          <w:tab w:val="center" w:pos="4201"/>
          <w:tab w:val="right" w:leader="dot" w:pos="9298"/>
        </w:tabs>
        <w:autoSpaceDE w:val="0"/>
        <w:autoSpaceDN w:val="0"/>
        <w:spacing w:line="360" w:lineRule="auto"/>
        <w:rPr>
          <w:rFonts w:hint="eastAsia" w:ascii="黑体" w:hAnsi="黑体" w:eastAsia="黑体" w:cs="黑体"/>
          <w:kern w:val="0"/>
          <w:szCs w:val="20"/>
          <w:lang w:eastAsia="zh-CN"/>
        </w:rPr>
      </w:pPr>
      <w:r>
        <w:rPr>
          <w:rFonts w:hint="eastAsia" w:ascii="黑体" w:hAnsi="黑体" w:eastAsia="黑体" w:cs="黑体"/>
          <w:kern w:val="0"/>
          <w:szCs w:val="20"/>
        </w:rPr>
        <w:t>A.</w:t>
      </w:r>
      <w:r>
        <w:rPr>
          <w:rFonts w:hint="eastAsia" w:ascii="黑体" w:hAnsi="黑体" w:eastAsia="黑体" w:cs="黑体"/>
          <w:kern w:val="0"/>
          <w:szCs w:val="20"/>
          <w:lang w:val="en-US" w:eastAsia="zh-CN"/>
        </w:rPr>
        <w:t>4</w:t>
      </w:r>
      <w:r>
        <w:rPr>
          <w:rFonts w:hint="eastAsia" w:ascii="黑体" w:hAnsi="黑体" w:eastAsia="黑体" w:cs="黑体"/>
          <w:kern w:val="0"/>
          <w:szCs w:val="20"/>
        </w:rPr>
        <w:t xml:space="preserve"> 粉状</w:t>
      </w:r>
      <w:r>
        <w:rPr>
          <w:rFonts w:hint="eastAsia" w:ascii="黑体" w:hAnsi="黑体" w:eastAsia="黑体" w:cs="黑体"/>
          <w:kern w:val="0"/>
          <w:szCs w:val="20"/>
          <w:lang w:val="en-US" w:eastAsia="zh-CN"/>
        </w:rPr>
        <w:t>及颗粒状产品</w:t>
      </w:r>
    </w:p>
    <w:p w14:paraId="422D8044">
      <w:pPr>
        <w:widowControl/>
        <w:autoSpaceDE w:val="0"/>
        <w:autoSpaceDN w:val="0"/>
        <w:snapToGrid w:val="0"/>
        <w:ind w:firstLine="420" w:firstLineChars="200"/>
        <w:rPr>
          <w:rFonts w:hint="default" w:ascii="Times New Roman" w:hAnsi="Times New Roman" w:cs="Times New Roman"/>
          <w:szCs w:val="24"/>
        </w:rPr>
      </w:pPr>
      <w:r>
        <w:rPr>
          <w:rFonts w:hint="default" w:ascii="Times New Roman" w:hAnsi="Times New Roman" w:cs="Times New Roman"/>
          <w:kern w:val="0"/>
          <w:szCs w:val="20"/>
        </w:rPr>
        <w:t>按照生产商提供</w:t>
      </w:r>
      <w:r>
        <w:rPr>
          <w:rFonts w:hint="default" w:ascii="Times New Roman" w:hAnsi="Times New Roman" w:cs="Times New Roman"/>
          <w:kern w:val="0"/>
          <w:szCs w:val="20"/>
          <w:lang w:val="en-US" w:eastAsia="zh-CN"/>
        </w:rPr>
        <w:t>的单位面积样品量，</w:t>
      </w:r>
      <w:r>
        <w:rPr>
          <w:rFonts w:hint="default" w:ascii="Times New Roman" w:hAnsi="Times New Roman" w:cs="Times New Roman"/>
        </w:rPr>
        <w:t>将</w:t>
      </w:r>
      <w:r>
        <w:rPr>
          <w:rFonts w:hint="default" w:ascii="Times New Roman" w:hAnsi="Times New Roman" w:cs="Times New Roman"/>
          <w:szCs w:val="24"/>
        </w:rPr>
        <w:t>待测样品尽可能平铺在试样皿</w:t>
      </w:r>
      <w:r>
        <w:rPr>
          <w:rFonts w:hint="default" w:ascii="Times New Roman" w:hAnsi="Times New Roman" w:cs="Times New Roman"/>
          <w:kern w:val="0"/>
          <w:szCs w:val="20"/>
        </w:rPr>
        <w:t>（A.1.3）</w:t>
      </w:r>
      <w:r>
        <w:rPr>
          <w:rFonts w:hint="default" w:ascii="Times New Roman" w:hAnsi="Times New Roman" w:cs="Times New Roman"/>
          <w:szCs w:val="24"/>
        </w:rPr>
        <w:t>中</w:t>
      </w:r>
      <w:r>
        <w:rPr>
          <w:rFonts w:hint="default" w:ascii="Times New Roman" w:hAnsi="Times New Roman" w:cs="Times New Roman"/>
          <w:szCs w:val="24"/>
          <w:lang w:eastAsia="zh-CN"/>
        </w:rPr>
        <w:t>，</w:t>
      </w:r>
      <w:r>
        <w:rPr>
          <w:rFonts w:hint="default" w:ascii="Times New Roman" w:hAnsi="Times New Roman" w:cs="Times New Roman"/>
          <w:kern w:val="0"/>
          <w:szCs w:val="20"/>
        </w:rPr>
        <w:t>如无法提供，按照（1±0.1）kg/m</w:t>
      </w:r>
      <w:r>
        <w:rPr>
          <w:rFonts w:hint="default" w:ascii="Times New Roman" w:hAnsi="Times New Roman" w:cs="Times New Roman"/>
          <w:kern w:val="0"/>
          <w:szCs w:val="20"/>
          <w:vertAlign w:val="superscript"/>
        </w:rPr>
        <w:t>2</w:t>
      </w:r>
      <w:r>
        <w:rPr>
          <w:rFonts w:hint="default" w:ascii="Times New Roman" w:hAnsi="Times New Roman" w:cs="Times New Roman"/>
          <w:kern w:val="0"/>
          <w:szCs w:val="20"/>
        </w:rPr>
        <w:t>的样品量进行。</w:t>
      </w:r>
    </w:p>
    <w:p w14:paraId="34E4AADF">
      <w:pPr>
        <w:widowControl/>
        <w:tabs>
          <w:tab w:val="center" w:pos="4201"/>
          <w:tab w:val="right" w:leader="dot" w:pos="9298"/>
        </w:tabs>
        <w:autoSpaceDE w:val="0"/>
        <w:autoSpaceDN w:val="0"/>
        <w:spacing w:line="360" w:lineRule="auto"/>
        <w:rPr>
          <w:rFonts w:hint="eastAsia" w:ascii="Times New Roman" w:hAnsi="Times New Roman" w:eastAsia="黑体"/>
          <w:kern w:val="0"/>
          <w:szCs w:val="20"/>
          <w:lang w:val="en-US" w:eastAsia="zh-CN"/>
        </w:rPr>
      </w:pPr>
      <w:r>
        <w:rPr>
          <w:rFonts w:hint="eastAsia" w:ascii="黑体" w:hAnsi="黑体" w:eastAsia="黑体" w:cs="黑体"/>
          <w:kern w:val="0"/>
          <w:szCs w:val="20"/>
        </w:rPr>
        <w:t>A.</w:t>
      </w:r>
      <w:r>
        <w:rPr>
          <w:rFonts w:hint="eastAsia" w:ascii="黑体" w:hAnsi="黑体" w:eastAsia="黑体" w:cs="黑体"/>
          <w:kern w:val="0"/>
          <w:szCs w:val="20"/>
          <w:lang w:val="en-US" w:eastAsia="zh-CN"/>
        </w:rPr>
        <w:t>5</w:t>
      </w:r>
      <w:r>
        <w:rPr>
          <w:rFonts w:hint="eastAsia" w:ascii="黑体" w:hAnsi="黑体" w:eastAsia="黑体" w:cs="黑体"/>
          <w:kern w:val="0"/>
          <w:szCs w:val="20"/>
        </w:rPr>
        <w:t xml:space="preserve"> 板状及片状</w:t>
      </w:r>
      <w:r>
        <w:rPr>
          <w:rFonts w:hint="eastAsia" w:ascii="黑体" w:hAnsi="黑体" w:eastAsia="黑体" w:cs="黑体"/>
          <w:kern w:val="0"/>
          <w:szCs w:val="20"/>
          <w:lang w:val="en-US" w:eastAsia="zh-CN"/>
        </w:rPr>
        <w:t>产品</w:t>
      </w:r>
    </w:p>
    <w:p w14:paraId="68A0A5E9">
      <w:pPr>
        <w:widowControl/>
        <w:autoSpaceDE w:val="0"/>
        <w:autoSpaceDN w:val="0"/>
        <w:snapToGrid w:val="0"/>
        <w:ind w:firstLine="420" w:firstLineChars="200"/>
        <w:rPr>
          <w:rFonts w:ascii="Times New Roman" w:hAnsi="Times New Roman"/>
          <w:kern w:val="0"/>
          <w:szCs w:val="20"/>
        </w:rPr>
      </w:pPr>
      <w:r>
        <w:rPr>
          <w:rFonts w:hint="eastAsia" w:ascii="Times New Roman" w:hAnsi="Times New Roman"/>
          <w:kern w:val="0"/>
          <w:szCs w:val="20"/>
          <w:lang w:val="en-US" w:eastAsia="zh-CN"/>
        </w:rPr>
        <w:t>按照0.25m</w:t>
      </w:r>
      <w:r>
        <w:rPr>
          <w:rFonts w:hint="eastAsia" w:ascii="Times New Roman" w:hAnsi="Times New Roman"/>
          <w:kern w:val="0"/>
          <w:szCs w:val="20"/>
          <w:vertAlign w:val="superscript"/>
          <w:lang w:val="en-US" w:eastAsia="zh-CN"/>
        </w:rPr>
        <w:t>2</w:t>
      </w:r>
      <w:r>
        <w:rPr>
          <w:rFonts w:hint="eastAsia" w:ascii="Times New Roman" w:hAnsi="Times New Roman"/>
          <w:kern w:val="0"/>
          <w:szCs w:val="20"/>
          <w:lang w:val="en-US" w:eastAsia="zh-CN"/>
        </w:rPr>
        <w:t>的试样面积，</w:t>
      </w:r>
      <w:r>
        <w:rPr>
          <w:rFonts w:hint="eastAsia" w:ascii="Times New Roman" w:hAnsi="Times New Roman"/>
          <w:kern w:val="0"/>
          <w:szCs w:val="20"/>
        </w:rPr>
        <w:t>沿样品的长度方向，在中心部分选取试样，垂直于样品表面进行剪切，所有试样的四边应用铝箔胶带包覆。</w:t>
      </w:r>
    </w:p>
    <w:p w14:paraId="7609D028">
      <w:pPr>
        <w:widowControl/>
        <w:autoSpaceDE w:val="0"/>
        <w:autoSpaceDN w:val="0"/>
        <w:snapToGrid w:val="0"/>
        <w:ind w:firstLine="420" w:firstLineChars="200"/>
        <w:rPr>
          <w:rFonts w:ascii="Times New Roman" w:hAnsi="Times New Roman"/>
          <w:kern w:val="0"/>
          <w:szCs w:val="20"/>
        </w:rPr>
      </w:pPr>
      <w:r>
        <w:rPr>
          <w:rFonts w:hint="eastAsia" w:ascii="Times New Roman" w:hAnsi="Times New Roman"/>
          <w:kern w:val="0"/>
          <w:szCs w:val="20"/>
        </w:rPr>
        <w:t>对于经涂饰、贴面后直接使用的双饰面样品，试样面积应按双面计算。</w:t>
      </w:r>
    </w:p>
    <w:p w14:paraId="718379AD">
      <w:pPr>
        <w:widowControl/>
        <w:autoSpaceDE w:val="0"/>
        <w:autoSpaceDN w:val="0"/>
        <w:snapToGrid w:val="0"/>
        <w:ind w:firstLine="420" w:firstLineChars="200"/>
        <w:rPr>
          <w:rFonts w:ascii="Times New Roman" w:hAnsi="Times New Roman"/>
          <w:kern w:val="0"/>
          <w:szCs w:val="20"/>
        </w:rPr>
      </w:pPr>
      <w:r>
        <w:rPr>
          <w:rFonts w:hint="eastAsia" w:ascii="Times New Roman" w:hAnsi="Times New Roman"/>
          <w:kern w:val="0"/>
          <w:szCs w:val="20"/>
        </w:rPr>
        <w:t>对于经涂饰、贴面后直接使用的单饰面样品，试样面积应按单面计算，背面应用铝箔胶带包覆，也可以把试样“</w:t>
      </w:r>
      <w:r>
        <w:rPr>
          <w:rFonts w:ascii="Times New Roman" w:hAnsi="Times New Roman"/>
          <w:kern w:val="0"/>
          <w:szCs w:val="20"/>
        </w:rPr>
        <w:t>背靠背</w:t>
      </w:r>
      <w:r>
        <w:rPr>
          <w:rFonts w:hint="eastAsia" w:ascii="Times New Roman" w:hAnsi="Times New Roman"/>
          <w:kern w:val="0"/>
          <w:szCs w:val="20"/>
        </w:rPr>
        <w:t>”处理。</w:t>
      </w:r>
    </w:p>
    <w:p w14:paraId="53442ABE">
      <w:pPr>
        <w:widowControl/>
        <w:autoSpaceDE w:val="0"/>
        <w:autoSpaceDN w:val="0"/>
        <w:snapToGrid w:val="0"/>
        <w:ind w:firstLine="420" w:firstLineChars="200"/>
        <w:rPr>
          <w:rFonts w:hint="default" w:ascii="Times New Roman" w:hAnsi="Times New Roman" w:eastAsiaTheme="minorEastAsia"/>
          <w:kern w:val="0"/>
          <w:szCs w:val="20"/>
          <w:lang w:val="en-US" w:eastAsia="zh-CN"/>
        </w:rPr>
      </w:pPr>
      <w:r>
        <w:rPr>
          <w:rFonts w:hint="eastAsia" w:ascii="Times New Roman" w:hAnsi="Times New Roman"/>
          <w:kern w:val="0"/>
          <w:szCs w:val="20"/>
        </w:rPr>
        <w:t>对于需要拼装的样品，应将试样拼在一起后再进行包覆。</w:t>
      </w:r>
    </w:p>
    <w:p w14:paraId="08018FF3">
      <w:pPr>
        <w:widowControl/>
        <w:tabs>
          <w:tab w:val="center" w:pos="4201"/>
          <w:tab w:val="right" w:leader="dot" w:pos="9298"/>
        </w:tabs>
        <w:autoSpaceDE w:val="0"/>
        <w:autoSpaceDN w:val="0"/>
        <w:spacing w:line="360" w:lineRule="auto"/>
        <w:rPr>
          <w:rFonts w:hint="eastAsia" w:ascii="黑体" w:hAnsi="黑体" w:eastAsia="黑体" w:cs="黑体"/>
          <w:kern w:val="0"/>
          <w:szCs w:val="20"/>
          <w:lang w:eastAsia="zh-CN"/>
        </w:rPr>
      </w:pPr>
      <w:r>
        <w:rPr>
          <w:rFonts w:hint="eastAsia" w:ascii="黑体" w:hAnsi="黑体" w:eastAsia="黑体" w:cs="黑体"/>
          <w:kern w:val="0"/>
          <w:szCs w:val="20"/>
        </w:rPr>
        <w:t>A.</w:t>
      </w:r>
      <w:r>
        <w:rPr>
          <w:rFonts w:hint="eastAsia" w:ascii="黑体" w:hAnsi="黑体" w:eastAsia="黑体" w:cs="黑体"/>
          <w:kern w:val="0"/>
          <w:szCs w:val="20"/>
          <w:lang w:val="en-US" w:eastAsia="zh-CN"/>
        </w:rPr>
        <w:t>6</w:t>
      </w:r>
      <w:r>
        <w:rPr>
          <w:rFonts w:hint="eastAsia" w:ascii="黑体" w:hAnsi="黑体" w:eastAsia="黑体" w:cs="黑体"/>
          <w:kern w:val="0"/>
          <w:szCs w:val="20"/>
        </w:rPr>
        <w:t xml:space="preserve"> 卷状</w:t>
      </w:r>
      <w:r>
        <w:rPr>
          <w:rFonts w:hint="eastAsia" w:ascii="黑体" w:hAnsi="黑体" w:eastAsia="黑体" w:cs="黑体"/>
          <w:kern w:val="0"/>
          <w:szCs w:val="20"/>
          <w:lang w:val="en-US" w:eastAsia="zh-CN"/>
        </w:rPr>
        <w:t>产品</w:t>
      </w:r>
    </w:p>
    <w:p w14:paraId="690FB748">
      <w:pPr>
        <w:widowControl/>
        <w:autoSpaceDE w:val="0"/>
        <w:autoSpaceDN w:val="0"/>
        <w:snapToGrid w:val="0"/>
        <w:ind w:firstLine="420" w:firstLineChars="200"/>
        <w:rPr>
          <w:rFonts w:ascii="黑体" w:hAnsi="黑体" w:eastAsia="黑体" w:cs="黑体"/>
          <w:kern w:val="0"/>
          <w:szCs w:val="20"/>
        </w:rPr>
      </w:pPr>
      <w:r>
        <w:rPr>
          <w:rFonts w:hint="eastAsia" w:ascii="Times New Roman" w:hAnsi="Times New Roman"/>
          <w:kern w:val="0"/>
          <w:szCs w:val="20"/>
          <w:lang w:val="en-US" w:eastAsia="zh-CN"/>
        </w:rPr>
        <w:t>按照0.25m</w:t>
      </w:r>
      <w:r>
        <w:rPr>
          <w:rFonts w:hint="eastAsia" w:ascii="Times New Roman" w:hAnsi="Times New Roman"/>
          <w:kern w:val="0"/>
          <w:szCs w:val="20"/>
          <w:vertAlign w:val="superscript"/>
          <w:lang w:val="en-US" w:eastAsia="zh-CN"/>
        </w:rPr>
        <w:t>2</w:t>
      </w:r>
      <w:r>
        <w:rPr>
          <w:rFonts w:hint="eastAsia" w:ascii="Times New Roman" w:hAnsi="Times New Roman"/>
          <w:kern w:val="0"/>
          <w:szCs w:val="20"/>
          <w:lang w:val="en-US" w:eastAsia="zh-CN"/>
        </w:rPr>
        <w:t>的试样面积，</w:t>
      </w:r>
      <w:r>
        <w:rPr>
          <w:rFonts w:hint="eastAsia" w:ascii="Times New Roman" w:hAnsi="Times New Roman"/>
          <w:kern w:val="0"/>
          <w:szCs w:val="20"/>
        </w:rPr>
        <w:t>从样品中间选择适当的区域取样，对于成卷产品（如壁纸），距离短边边缘至少</w:t>
      </w:r>
      <w:r>
        <w:rPr>
          <w:rFonts w:ascii="Times New Roman" w:hAnsi="Times New Roman"/>
          <w:kern w:val="0"/>
          <w:szCs w:val="20"/>
        </w:rPr>
        <w:t>50cm</w:t>
      </w:r>
      <w:r>
        <w:rPr>
          <w:rFonts w:hint="eastAsia" w:ascii="Times New Roman" w:hAnsi="Times New Roman"/>
          <w:kern w:val="0"/>
          <w:szCs w:val="20"/>
        </w:rPr>
        <w:t>取样。将</w:t>
      </w:r>
      <w:r>
        <w:rPr>
          <w:rFonts w:ascii="Times New Roman" w:hAnsi="Times New Roman"/>
          <w:kern w:val="0"/>
          <w:szCs w:val="20"/>
        </w:rPr>
        <w:t>试样的下</w:t>
      </w:r>
      <w:r>
        <w:rPr>
          <w:rFonts w:hint="eastAsia" w:ascii="Times New Roman" w:hAnsi="Times New Roman"/>
          <w:kern w:val="0"/>
          <w:szCs w:val="20"/>
        </w:rPr>
        <w:t>表面放置</w:t>
      </w:r>
      <w:r>
        <w:rPr>
          <w:rFonts w:ascii="Times New Roman" w:hAnsi="Times New Roman"/>
          <w:kern w:val="0"/>
          <w:szCs w:val="20"/>
        </w:rPr>
        <w:t>在基</w:t>
      </w:r>
      <w:r>
        <w:rPr>
          <w:rFonts w:hint="eastAsia" w:ascii="Times New Roman" w:hAnsi="Times New Roman"/>
          <w:kern w:val="0"/>
          <w:szCs w:val="20"/>
        </w:rPr>
        <w:t>材</w:t>
      </w:r>
      <w:r>
        <w:rPr>
          <w:rFonts w:ascii="Times New Roman" w:hAnsi="Times New Roman"/>
          <w:kern w:val="0"/>
          <w:szCs w:val="20"/>
        </w:rPr>
        <w:t>（</w:t>
      </w:r>
      <w:r>
        <w:rPr>
          <w:rFonts w:hint="eastAsia" w:ascii="Times New Roman" w:hAnsi="Times New Roman"/>
          <w:kern w:val="0"/>
          <w:szCs w:val="20"/>
          <w:highlight w:val="none"/>
          <w:lang w:val="en-US" w:eastAsia="zh-CN"/>
        </w:rPr>
        <w:t>A.1.1</w:t>
      </w:r>
      <w:r>
        <w:rPr>
          <w:rFonts w:ascii="Times New Roman" w:hAnsi="Times New Roman"/>
          <w:kern w:val="0"/>
          <w:szCs w:val="20"/>
        </w:rPr>
        <w:t>）上，使用铝箔胶带将四周边缘封闭</w:t>
      </w:r>
      <w:r>
        <w:rPr>
          <w:rFonts w:hint="eastAsia" w:ascii="Times New Roman" w:hAnsi="Times New Roman"/>
          <w:kern w:val="0"/>
          <w:szCs w:val="20"/>
        </w:rPr>
        <w:t>，</w:t>
      </w:r>
      <w:r>
        <w:rPr>
          <w:rFonts w:ascii="Times New Roman" w:hAnsi="Times New Roman"/>
          <w:kern w:val="0"/>
          <w:szCs w:val="20"/>
        </w:rPr>
        <w:t>或将</w:t>
      </w:r>
      <w:r>
        <w:rPr>
          <w:rFonts w:hint="eastAsia" w:ascii="Times New Roman" w:hAnsi="Times New Roman"/>
          <w:kern w:val="0"/>
          <w:szCs w:val="20"/>
        </w:rPr>
        <w:t>试样“</w:t>
      </w:r>
      <w:r>
        <w:rPr>
          <w:rFonts w:ascii="Times New Roman" w:hAnsi="Times New Roman"/>
          <w:kern w:val="0"/>
          <w:szCs w:val="20"/>
        </w:rPr>
        <w:t>背靠背</w:t>
      </w:r>
      <w:r>
        <w:rPr>
          <w:rFonts w:hint="eastAsia" w:ascii="Times New Roman" w:hAnsi="Times New Roman"/>
          <w:kern w:val="0"/>
          <w:szCs w:val="20"/>
        </w:rPr>
        <w:t>”组合</w:t>
      </w:r>
      <w:r>
        <w:rPr>
          <w:rFonts w:ascii="Times New Roman" w:hAnsi="Times New Roman"/>
          <w:color w:val="000000" w:themeColor="text1"/>
          <w:kern w:val="0"/>
          <w:szCs w:val="20"/>
          <w14:textFill>
            <w14:solidFill>
              <w14:schemeClr w14:val="tx1"/>
            </w14:solidFill>
          </w14:textFill>
        </w:rPr>
        <w:t>，用铝箔</w:t>
      </w:r>
      <w:r>
        <w:rPr>
          <w:rFonts w:hint="eastAsia" w:ascii="Times New Roman" w:hAnsi="Times New Roman"/>
          <w:color w:val="000000" w:themeColor="text1"/>
          <w:kern w:val="0"/>
          <w:szCs w:val="20"/>
          <w14:textFill>
            <w14:solidFill>
              <w14:schemeClr w14:val="tx1"/>
            </w14:solidFill>
          </w14:textFill>
        </w:rPr>
        <w:t>胶带</w:t>
      </w:r>
      <w:r>
        <w:rPr>
          <w:rFonts w:ascii="Times New Roman" w:hAnsi="Times New Roman"/>
          <w:color w:val="000000" w:themeColor="text1"/>
          <w:kern w:val="0"/>
          <w:szCs w:val="20"/>
          <w14:textFill>
            <w14:solidFill>
              <w14:schemeClr w14:val="tx1"/>
            </w14:solidFill>
          </w14:textFill>
        </w:rPr>
        <w:t>密封边缘</w:t>
      </w:r>
      <w:r>
        <w:rPr>
          <w:rFonts w:hint="eastAsia" w:ascii="Times New Roman" w:hAnsi="Times New Roman"/>
          <w:color w:val="000000" w:themeColor="text1"/>
          <w:kern w:val="0"/>
          <w:szCs w:val="20"/>
          <w14:textFill>
            <w14:solidFill>
              <w14:schemeClr w14:val="tx1"/>
            </w14:solidFill>
          </w14:textFill>
        </w:rPr>
        <w:t>。</w:t>
      </w:r>
    </w:p>
    <w:p w14:paraId="1AF72A63">
      <w:pPr>
        <w:ind w:firstLine="420" w:firstLineChars="200"/>
        <w:jc w:val="left"/>
        <w:rPr>
          <w:rFonts w:ascii="Times New Roman" w:hAnsi="等线" w:eastAsia="宋体" w:cs="Times New Roman"/>
          <w:szCs w:val="21"/>
          <w:lang w:val="zh-CN"/>
        </w:rPr>
      </w:pPr>
      <w:r>
        <w:rPr>
          <w:rFonts w:ascii="Times New Roman" w:hAnsi="等线" w:eastAsia="宋体" w:cs="Times New Roman"/>
          <w:szCs w:val="21"/>
          <w:lang w:val="zh-CN"/>
        </w:rPr>
        <w:br w:type="page"/>
      </w:r>
    </w:p>
    <w:p w14:paraId="1721DAA7">
      <w:pPr>
        <w:widowControl/>
        <w:tabs>
          <w:tab w:val="center" w:pos="4201"/>
          <w:tab w:val="right" w:leader="dot" w:pos="9298"/>
        </w:tabs>
        <w:autoSpaceDE w:val="0"/>
        <w:autoSpaceDN w:val="0"/>
        <w:spacing w:line="360" w:lineRule="auto"/>
        <w:jc w:val="center"/>
        <w:outlineLvl w:val="0"/>
        <w:rPr>
          <w:rFonts w:hint="default" w:ascii="Times New Roman" w:hAnsi="Times New Roman" w:eastAsia="黑体" w:cs="Times New Roman"/>
          <w:kern w:val="0"/>
          <w:szCs w:val="20"/>
          <w:lang w:val="en-US" w:eastAsia="zh-CN"/>
        </w:rPr>
      </w:pPr>
      <w:bookmarkStart w:id="38" w:name="_Toc6804"/>
      <w:r>
        <w:rPr>
          <w:rFonts w:ascii="Times New Roman" w:hAnsi="Times New Roman" w:eastAsia="黑体" w:cs="Times New Roman"/>
          <w:kern w:val="0"/>
          <w:szCs w:val="20"/>
        </w:rPr>
        <w:t>附录B</w:t>
      </w:r>
      <w:r>
        <w:rPr>
          <w:rFonts w:ascii="Times New Roman" w:hAnsi="Times New Roman" w:eastAsia="黑体" w:cs="Times New Roman"/>
          <w:kern w:val="0"/>
          <w:szCs w:val="20"/>
        </w:rPr>
        <w:br w:type="textWrapping"/>
      </w:r>
      <w:r>
        <w:rPr>
          <w:rFonts w:ascii="Times New Roman" w:hAnsi="Times New Roman" w:eastAsia="黑体" w:cs="Times New Roman"/>
          <w:kern w:val="0"/>
          <w:szCs w:val="20"/>
        </w:rPr>
        <w:t>(</w:t>
      </w:r>
      <w:r>
        <w:rPr>
          <w:rFonts w:hint="eastAsia" w:ascii="Times New Roman" w:hAnsi="Times New Roman" w:eastAsia="黑体" w:cs="Times New Roman"/>
          <w:kern w:val="0"/>
          <w:szCs w:val="20"/>
          <w:lang w:val="en-US" w:eastAsia="zh-CN"/>
        </w:rPr>
        <w:t>资料</w:t>
      </w:r>
      <w:r>
        <w:rPr>
          <w:rFonts w:ascii="Times New Roman" w:hAnsi="Times New Roman" w:eastAsia="黑体" w:cs="Times New Roman"/>
          <w:kern w:val="0"/>
          <w:szCs w:val="20"/>
        </w:rPr>
        <w:t>性)</w:t>
      </w:r>
      <w:r>
        <w:rPr>
          <w:rFonts w:ascii="Times New Roman" w:hAnsi="Times New Roman" w:eastAsia="黑体" w:cs="Times New Roman"/>
          <w:kern w:val="0"/>
          <w:szCs w:val="20"/>
        </w:rPr>
        <w:br w:type="textWrapping"/>
      </w:r>
      <w:bookmarkEnd w:id="38"/>
      <w:r>
        <w:rPr>
          <w:rFonts w:hint="eastAsia" w:ascii="Times New Roman" w:hAnsi="Times New Roman" w:eastAsia="黑体" w:cs="Times New Roman"/>
          <w:kern w:val="0"/>
          <w:szCs w:val="20"/>
          <w:lang w:val="en-US" w:eastAsia="zh-CN"/>
        </w:rPr>
        <w:t>其他气味模拟溶液制备方法</w:t>
      </w:r>
    </w:p>
    <w:p w14:paraId="3AAC6B4C">
      <w:pPr>
        <w:widowControl/>
        <w:tabs>
          <w:tab w:val="center" w:pos="4201"/>
          <w:tab w:val="right" w:leader="dot" w:pos="9298"/>
        </w:tabs>
        <w:autoSpaceDE w:val="0"/>
        <w:autoSpaceDN w:val="0"/>
        <w:spacing w:line="360" w:lineRule="auto"/>
        <w:rPr>
          <w:rFonts w:hint="eastAsia" w:ascii="黑体" w:hAnsi="黑体" w:eastAsia="黑体" w:cs="黑体"/>
          <w:kern w:val="0"/>
          <w:szCs w:val="20"/>
          <w:lang w:val="en-US" w:eastAsia="zh-CN"/>
        </w:rPr>
      </w:pPr>
      <w:r>
        <w:rPr>
          <w:rFonts w:hint="eastAsia" w:ascii="黑体" w:hAnsi="黑体" w:eastAsia="黑体" w:cs="黑体"/>
          <w:kern w:val="0"/>
          <w:szCs w:val="20"/>
        </w:rPr>
        <w:t xml:space="preserve">B.1 </w:t>
      </w:r>
      <w:r>
        <w:rPr>
          <w:rFonts w:hint="eastAsia" w:ascii="黑体" w:hAnsi="黑体" w:eastAsia="黑体" w:cs="黑体"/>
          <w:kern w:val="0"/>
          <w:szCs w:val="20"/>
          <w:lang w:val="en-US" w:eastAsia="zh-CN"/>
        </w:rPr>
        <w:t>概述</w:t>
      </w:r>
    </w:p>
    <w:p w14:paraId="69F3D022">
      <w:pPr>
        <w:widowControl/>
        <w:tabs>
          <w:tab w:val="center" w:pos="4201"/>
          <w:tab w:val="right" w:leader="dot" w:pos="9298"/>
        </w:tabs>
        <w:autoSpaceDE w:val="0"/>
        <w:autoSpaceDN w:val="0"/>
        <w:ind w:firstLine="420" w:firstLineChars="200"/>
        <w:rPr>
          <w:rFonts w:hint="default" w:ascii="Times New Roman" w:hAnsi="Times New Roman" w:eastAsia="宋体" w:cs="Times New Roman"/>
          <w:kern w:val="0"/>
          <w:szCs w:val="20"/>
        </w:rPr>
      </w:pPr>
      <w:r>
        <w:rPr>
          <w:rFonts w:hint="default" w:ascii="Times New Roman" w:hAnsi="Times New Roman" w:eastAsia="宋体" w:cs="Times New Roman"/>
          <w:kern w:val="0"/>
          <w:szCs w:val="20"/>
        </w:rPr>
        <w:t>本附录给出</w:t>
      </w:r>
      <w:r>
        <w:rPr>
          <w:rFonts w:hint="eastAsia" w:ascii="Times New Roman" w:hAnsi="Times New Roman" w:eastAsia="宋体" w:cs="Times New Roman"/>
          <w:kern w:val="0"/>
          <w:szCs w:val="20"/>
          <w:lang w:val="en-US" w:eastAsia="zh-CN"/>
        </w:rPr>
        <w:t>用于材料气味净味评价用的气味</w:t>
      </w:r>
      <w:r>
        <w:rPr>
          <w:rFonts w:hint="default" w:ascii="Times New Roman" w:hAnsi="Times New Roman" w:eastAsia="宋体" w:cs="Times New Roman"/>
          <w:kern w:val="0"/>
          <w:szCs w:val="20"/>
        </w:rPr>
        <w:t>模拟溶液配制与</w:t>
      </w:r>
      <w:r>
        <w:rPr>
          <w:rFonts w:hint="eastAsia" w:ascii="Times New Roman" w:hAnsi="Times New Roman" w:eastAsia="宋体" w:cs="Times New Roman"/>
          <w:kern w:val="0"/>
          <w:szCs w:val="20"/>
          <w:lang w:val="en-US" w:eastAsia="zh-CN"/>
        </w:rPr>
        <w:t>计算</w:t>
      </w:r>
      <w:r>
        <w:rPr>
          <w:rFonts w:hint="default" w:ascii="Times New Roman" w:hAnsi="Times New Roman" w:eastAsia="宋体" w:cs="Times New Roman"/>
          <w:kern w:val="0"/>
          <w:szCs w:val="20"/>
        </w:rPr>
        <w:t>方法。</w:t>
      </w:r>
    </w:p>
    <w:p w14:paraId="29F75245">
      <w:pPr>
        <w:widowControl/>
        <w:tabs>
          <w:tab w:val="center" w:pos="4201"/>
          <w:tab w:val="right" w:leader="dot" w:pos="9298"/>
        </w:tabs>
        <w:autoSpaceDE w:val="0"/>
        <w:autoSpaceDN w:val="0"/>
        <w:spacing w:line="360" w:lineRule="auto"/>
        <w:rPr>
          <w:rFonts w:hint="default" w:ascii="黑体" w:hAnsi="黑体" w:eastAsia="黑体" w:cs="黑体"/>
          <w:kern w:val="0"/>
          <w:szCs w:val="20"/>
          <w:lang w:val="en-US" w:eastAsia="zh-CN"/>
        </w:rPr>
      </w:pPr>
      <w:r>
        <w:rPr>
          <w:rFonts w:hint="eastAsia" w:ascii="黑体" w:hAnsi="黑体" w:eastAsia="黑体" w:cs="黑体"/>
          <w:kern w:val="0"/>
          <w:szCs w:val="20"/>
          <w:lang w:val="en-US" w:eastAsia="zh-CN"/>
        </w:rPr>
        <w:t>B.2 试验舱目标浓度</w:t>
      </w:r>
    </w:p>
    <w:p w14:paraId="1AA5D49B">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B.2.1 试验舱中气味物质的目标浓度宜按该气味物质的空气气味阈值（C</w:t>
      </w:r>
      <w:r>
        <w:rPr>
          <w:rFonts w:hint="eastAsia" w:ascii="Times New Roman" w:hAnsi="Times New Roman" w:eastAsia="宋体" w:cs="Times New Roman"/>
          <w:kern w:val="0"/>
          <w:szCs w:val="20"/>
          <w:vertAlign w:val="subscript"/>
          <w:lang w:val="en-US" w:eastAsia="zh-CN"/>
        </w:rPr>
        <w:t>od</w:t>
      </w:r>
      <w:r>
        <w:rPr>
          <w:rFonts w:hint="eastAsia" w:ascii="Times New Roman" w:hAnsi="Times New Roman" w:eastAsia="宋体" w:cs="Times New Roman"/>
          <w:kern w:val="0"/>
          <w:szCs w:val="20"/>
          <w:lang w:val="en-US" w:eastAsia="zh-CN"/>
        </w:rPr>
        <w:t>）的10倍设置，计算公式见式（B.1）。</w:t>
      </w:r>
    </w:p>
    <w:tbl>
      <w:tblPr>
        <w:tblStyle w:val="14"/>
        <w:tblW w:w="95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00"/>
        <w:gridCol w:w="6013"/>
        <w:gridCol w:w="1466"/>
      </w:tblGrid>
      <w:tr w14:paraId="4610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00" w:type="dxa"/>
            <w:vAlign w:val="center"/>
          </w:tcPr>
          <w:p w14:paraId="6E6717D7">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p>
        </w:tc>
        <w:tc>
          <w:tcPr>
            <w:tcW w:w="6013" w:type="dxa"/>
            <w:vAlign w:val="center"/>
          </w:tcPr>
          <w:p w14:paraId="69213388">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m:oMathPara>
              <m:oMath>
                <m:sSub>
                  <m:sSubPr>
                    <m:ctrlPr>
                      <w:rPr>
                        <w:rFonts w:hint="default" w:ascii="Cambria Math" w:hAnsi="Cambria Math" w:eastAsia="宋体" w:cs="Times New Roman"/>
                        <w:i w:val="0"/>
                        <w:kern w:val="0"/>
                        <w:sz w:val="21"/>
                        <w:szCs w:val="20"/>
                        <w:vertAlign w:val="baseline"/>
                        <w:lang w:val="en-US" w:eastAsia="zh-CN" w:bidi="ar-SA"/>
                      </w:rPr>
                    </m:ctrlPr>
                  </m:sSubPr>
                  <m:e>
                    <m:r>
                      <m:rPr>
                        <m:sty m:val="p"/>
                      </m:rPr>
                      <w:rPr>
                        <w:rFonts w:hint="default" w:ascii="Cambria Math" w:hAnsi="Cambria Math" w:eastAsia="宋体" w:cs="Times New Roman"/>
                        <w:kern w:val="0"/>
                        <w:sz w:val="21"/>
                        <w:szCs w:val="20"/>
                        <w:vertAlign w:val="baseline"/>
                        <w:lang w:val="en-US" w:eastAsia="zh-CN" w:bidi="ar-SA"/>
                      </w:rPr>
                      <m:t>C</m:t>
                    </m:r>
                    <m:ctrlPr>
                      <w:rPr>
                        <w:rFonts w:hint="default" w:ascii="Cambria Math" w:hAnsi="Cambria Math" w:eastAsia="宋体" w:cs="Times New Roman"/>
                        <w:i w:val="0"/>
                        <w:kern w:val="0"/>
                        <w:sz w:val="21"/>
                        <w:szCs w:val="20"/>
                        <w:vertAlign w:val="baseline"/>
                        <w:lang w:val="en-US" w:eastAsia="zh-CN" w:bidi="ar-SA"/>
                      </w:rPr>
                    </m:ctrlPr>
                  </m:e>
                  <m:sub>
                    <m:r>
                      <m:rPr>
                        <m:sty m:val="p"/>
                      </m:rPr>
                      <w:rPr>
                        <w:rFonts w:hint="default" w:ascii="Cambria Math" w:hAnsi="Cambria Math" w:eastAsia="宋体" w:cs="Times New Roman"/>
                        <w:kern w:val="0"/>
                        <w:sz w:val="21"/>
                        <w:szCs w:val="20"/>
                        <w:vertAlign w:val="baseline"/>
                        <w:lang w:val="en-US" w:eastAsia="zh-CN" w:bidi="ar-SA"/>
                      </w:rPr>
                      <m:t>t</m:t>
                    </m:r>
                    <m:ctrlPr>
                      <w:rPr>
                        <w:rFonts w:hint="default" w:ascii="Cambria Math" w:hAnsi="Cambria Math" w:eastAsia="宋体" w:cs="Times New Roman"/>
                        <w:i w:val="0"/>
                        <w:kern w:val="0"/>
                        <w:sz w:val="21"/>
                        <w:szCs w:val="20"/>
                        <w:vertAlign w:val="baseline"/>
                        <w:lang w:val="en-US" w:eastAsia="zh-CN" w:bidi="ar-SA"/>
                      </w:rPr>
                    </m:ctrlPr>
                  </m:sub>
                </m:sSub>
                <m:r>
                  <m:rPr>
                    <m:sty m:val="p"/>
                  </m:rPr>
                  <w:rPr>
                    <w:rFonts w:hint="default" w:ascii="Cambria Math" w:hAnsi="Cambria Math" w:eastAsia="宋体" w:cs="Times New Roman"/>
                    <w:kern w:val="0"/>
                    <w:sz w:val="21"/>
                    <w:szCs w:val="20"/>
                    <w:vertAlign w:val="baseline"/>
                    <w:lang w:val="en-US" w:eastAsia="zh-CN" w:bidi="ar-SA"/>
                  </w:rPr>
                  <m:t>=10</m:t>
                </m:r>
                <m:r>
                  <m:rPr>
                    <m:sty m:val="p"/>
                  </m:rPr>
                  <w:rPr>
                    <w:rFonts w:hint="default" w:ascii="Cambria Math" w:hAnsi="Cambria Math" w:eastAsia="宋体" w:cs="Cambria Math"/>
                    <w:kern w:val="0"/>
                    <w:sz w:val="21"/>
                    <w:szCs w:val="20"/>
                    <w:vertAlign w:val="baseline"/>
                    <w:lang w:val="en-US" w:eastAsia="zh-CN" w:bidi="ar-SA"/>
                  </w:rPr>
                  <m:t>×</m:t>
                </m:r>
                <m:sSub>
                  <m:sSubPr>
                    <m:ctrlPr>
                      <w:rPr>
                        <w:rFonts w:hint="default" w:ascii="Cambria Math" w:hAnsi="Cambria Math" w:eastAsia="宋体" w:cs="Cambria Math"/>
                        <w:i w:val="0"/>
                        <w:kern w:val="0"/>
                        <w:sz w:val="21"/>
                        <w:szCs w:val="20"/>
                        <w:vertAlign w:val="baseline"/>
                        <w:lang w:val="en-US" w:eastAsia="zh-CN" w:bidi="ar-SA"/>
                      </w:rPr>
                    </m:ctrlPr>
                  </m:sSubPr>
                  <m:e>
                    <m:r>
                      <m:rPr>
                        <m:sty m:val="p"/>
                      </m:rPr>
                      <w:rPr>
                        <w:rFonts w:hint="default" w:ascii="Cambria Math" w:hAnsi="Cambria Math" w:eastAsia="宋体" w:cs="Cambria Math"/>
                        <w:kern w:val="0"/>
                        <w:sz w:val="21"/>
                        <w:szCs w:val="20"/>
                        <w:vertAlign w:val="baseline"/>
                        <w:lang w:val="en-US" w:eastAsia="zh-CN" w:bidi="ar-SA"/>
                      </w:rPr>
                      <m:t>C</m:t>
                    </m:r>
                    <m:ctrlPr>
                      <w:rPr>
                        <w:rFonts w:hint="default" w:ascii="Cambria Math" w:hAnsi="Cambria Math" w:eastAsia="宋体" w:cs="Cambria Math"/>
                        <w:i w:val="0"/>
                        <w:kern w:val="0"/>
                        <w:sz w:val="21"/>
                        <w:szCs w:val="20"/>
                        <w:vertAlign w:val="baseline"/>
                        <w:lang w:val="en-US" w:eastAsia="zh-CN" w:bidi="ar-SA"/>
                      </w:rPr>
                    </m:ctrlPr>
                  </m:e>
                  <m:sub>
                    <m:r>
                      <m:rPr>
                        <m:sty m:val="p"/>
                      </m:rPr>
                      <w:rPr>
                        <w:rFonts w:hint="eastAsia" w:ascii="Cambria Math" w:hAnsi="Cambria Math" w:eastAsia="宋体" w:cs="Cambria Math"/>
                        <w:kern w:val="0"/>
                        <w:sz w:val="21"/>
                        <w:szCs w:val="20"/>
                        <w:vertAlign w:val="baseline"/>
                        <w:lang w:val="en-US" w:eastAsia="zh-CN" w:bidi="ar-SA"/>
                      </w:rPr>
                      <m:t>od</m:t>
                    </m:r>
                    <m:ctrlPr>
                      <w:rPr>
                        <w:rFonts w:hint="default" w:ascii="Cambria Math" w:hAnsi="Cambria Math" w:eastAsia="宋体" w:cs="Cambria Math"/>
                        <w:i w:val="0"/>
                        <w:kern w:val="0"/>
                        <w:sz w:val="21"/>
                        <w:szCs w:val="20"/>
                        <w:vertAlign w:val="baseline"/>
                        <w:lang w:val="en-US" w:eastAsia="zh-CN" w:bidi="ar-SA"/>
                      </w:rPr>
                    </m:ctrlPr>
                  </m:sub>
                </m:sSub>
              </m:oMath>
            </m:oMathPara>
          </w:p>
        </w:tc>
        <w:tc>
          <w:tcPr>
            <w:tcW w:w="1466" w:type="dxa"/>
            <w:vAlign w:val="center"/>
          </w:tcPr>
          <w:p w14:paraId="21A11A98">
            <w:pPr>
              <w:widowControl/>
              <w:tabs>
                <w:tab w:val="center" w:pos="4201"/>
                <w:tab w:val="right" w:leader="dot" w:pos="9298"/>
              </w:tabs>
              <w:autoSpaceDE w:val="0"/>
              <w:autoSpaceDN w:val="0"/>
              <w:jc w:val="right"/>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（B.1）</w:t>
            </w:r>
          </w:p>
        </w:tc>
      </w:tr>
      <w:tr w14:paraId="44BB4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9579" w:type="dxa"/>
            <w:gridSpan w:val="3"/>
            <w:vAlign w:val="center"/>
          </w:tcPr>
          <w:p w14:paraId="0C0573EB">
            <w:pPr>
              <w:widowControl/>
              <w:tabs>
                <w:tab w:val="center" w:pos="4201"/>
                <w:tab w:val="right" w:leader="dot" w:pos="9298"/>
              </w:tabs>
              <w:autoSpaceDE w:val="0"/>
              <w:autoSpaceDN w:val="0"/>
              <w:jc w:val="both"/>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式中：</w:t>
            </w:r>
          </w:p>
          <w:p w14:paraId="778D0B4D">
            <w:pPr>
              <w:widowControl/>
              <w:tabs>
                <w:tab w:val="center" w:pos="4201"/>
                <w:tab w:val="right" w:leader="dot" w:pos="9298"/>
              </w:tabs>
              <w:autoSpaceDE w:val="0"/>
              <w:autoSpaceDN w:val="0"/>
              <w:jc w:val="both"/>
              <w:rPr>
                <w:rFonts w:hint="default" w:ascii="Times New Roman" w:hAnsi="Times New Roman" w:cs="Times New Roman" w:eastAsiaTheme="minorEastAsia"/>
                <w:kern w:val="0"/>
                <w:szCs w:val="20"/>
                <w:vertAlign w:val="baseline"/>
                <w:lang w:val="en-US" w:eastAsia="zh-CN"/>
              </w:rPr>
            </w:pPr>
            <m:oMath>
              <m:sSub>
                <m:sSubPr>
                  <m:ctrlPr>
                    <w:rPr>
                      <w:rFonts w:hint="default" w:ascii="Cambria Math" w:hAnsi="Cambria Math" w:cs="Times New Roman" w:eastAsiaTheme="minorEastAsia"/>
                      <w:i w:val="0"/>
                      <w:kern w:val="0"/>
                      <w:sz w:val="21"/>
                      <w:szCs w:val="20"/>
                      <w:vertAlign w:val="baseline"/>
                      <w:lang w:val="en-US" w:eastAsia="zh-CN" w:bidi="ar-SA"/>
                    </w:rPr>
                  </m:ctrlPr>
                </m:sSubPr>
                <m:e>
                  <m:r>
                    <m:rPr>
                      <m:nor/>
                      <m:sty m:val="p"/>
                    </m:rPr>
                    <w:rPr>
                      <w:rFonts w:hint="default" w:ascii="Times New Roman" w:hAnsi="Times New Roman" w:cs="Times New Roman" w:eastAsiaTheme="minorEastAsia"/>
                      <w:b w:val="0"/>
                      <w:i w:val="0"/>
                      <w:kern w:val="0"/>
                      <w:sz w:val="21"/>
                      <w:szCs w:val="20"/>
                      <w:vertAlign w:val="baseline"/>
                      <w:lang w:val="en-US" w:eastAsia="zh-CN" w:bidi="ar-SA"/>
                    </w:rPr>
                    <m:t>C</m:t>
                  </m:r>
                  <m:ctrlPr>
                    <w:rPr>
                      <w:rFonts w:hint="default" w:ascii="Cambria Math" w:hAnsi="Cambria Math" w:cs="Times New Roman" w:eastAsiaTheme="minorEastAsia"/>
                      <w:i w:val="0"/>
                      <w:kern w:val="0"/>
                      <w:sz w:val="21"/>
                      <w:szCs w:val="20"/>
                      <w:vertAlign w:val="baseline"/>
                      <w:lang w:val="en-US" w:eastAsia="zh-CN" w:bidi="ar-SA"/>
                    </w:rPr>
                  </m:ctrlPr>
                </m:e>
                <m:sub>
                  <m:r>
                    <m:rPr>
                      <m:nor/>
                      <m:sty m:val="p"/>
                    </m:rPr>
                    <w:rPr>
                      <w:rFonts w:hint="default" w:ascii="Times New Roman" w:hAnsi="Times New Roman" w:cs="Times New Roman" w:eastAsiaTheme="minorEastAsia"/>
                      <w:b w:val="0"/>
                      <w:i w:val="0"/>
                      <w:kern w:val="0"/>
                      <w:sz w:val="21"/>
                      <w:szCs w:val="20"/>
                      <w:vertAlign w:val="baseline"/>
                      <w:lang w:val="en-US" w:eastAsia="zh-CN" w:bidi="ar-SA"/>
                    </w:rPr>
                    <m:t>t</m:t>
                  </m:r>
                  <m:ctrlPr>
                    <w:rPr>
                      <w:rFonts w:hint="default" w:ascii="Cambria Math" w:hAnsi="Cambria Math" w:cs="Times New Roman" w:eastAsiaTheme="minorEastAsia"/>
                      <w:i w:val="0"/>
                      <w:kern w:val="0"/>
                      <w:sz w:val="21"/>
                      <w:szCs w:val="20"/>
                      <w:vertAlign w:val="baseline"/>
                      <w:lang w:val="en-US" w:eastAsia="zh-CN" w:bidi="ar-SA"/>
                    </w:rPr>
                  </m:ctrlPr>
                </m:sub>
              </m:sSub>
            </m:oMath>
            <w:r>
              <w:rPr>
                <w:rFonts w:hint="default" w:ascii="Times New Roman" w:hAnsi="Times New Roman" w:cs="Times New Roman" w:eastAsiaTheme="minorEastAsia"/>
                <w:i w:val="0"/>
                <w:kern w:val="0"/>
                <w:sz w:val="21"/>
                <w:szCs w:val="20"/>
                <w:vertAlign w:val="baseline"/>
                <w:lang w:val="en-US" w:eastAsia="zh-CN" w:bidi="ar-SA"/>
              </w:rPr>
              <w:t>——试验舱中</w:t>
            </w:r>
            <w:r>
              <w:rPr>
                <w:rFonts w:hint="default" w:ascii="Times New Roman" w:hAnsi="Times New Roman" w:cs="Times New Roman" w:eastAsiaTheme="minorEastAsia"/>
                <w:kern w:val="0"/>
                <w:szCs w:val="20"/>
                <w:lang w:val="en-US" w:eastAsia="zh-CN"/>
              </w:rPr>
              <w:t>气味物质的目标浓度，ug/m</w:t>
            </w:r>
            <w:r>
              <w:rPr>
                <w:rFonts w:hint="default" w:ascii="Times New Roman" w:hAnsi="Times New Roman" w:cs="Times New Roman" w:eastAsiaTheme="minorEastAsia"/>
                <w:kern w:val="0"/>
                <w:szCs w:val="20"/>
                <w:vertAlign w:val="superscript"/>
                <w:lang w:val="en-US" w:eastAsia="zh-CN"/>
              </w:rPr>
              <w:t>3</w:t>
            </w:r>
            <w:r>
              <w:rPr>
                <w:rFonts w:hint="default" w:ascii="Times New Roman" w:hAnsi="Times New Roman" w:cs="Times New Roman" w:eastAsiaTheme="minorEastAsia"/>
                <w:kern w:val="0"/>
                <w:szCs w:val="20"/>
                <w:vertAlign w:val="baseline"/>
                <w:lang w:val="en-US" w:eastAsia="zh-CN"/>
              </w:rPr>
              <w:t>;</w:t>
            </w:r>
          </w:p>
          <w:p w14:paraId="337934CC">
            <w:pPr>
              <w:widowControl/>
              <w:tabs>
                <w:tab w:val="center" w:pos="4201"/>
                <w:tab w:val="right" w:leader="dot" w:pos="9298"/>
              </w:tabs>
              <w:autoSpaceDE w:val="0"/>
              <w:autoSpaceDN w:val="0"/>
              <w:jc w:val="both"/>
              <w:rPr>
                <w:rFonts w:hint="default" w:ascii="Times New Roman" w:hAnsi="Times New Roman" w:cs="Times New Roman" w:eastAsiaTheme="minorEastAsia"/>
                <w:kern w:val="0"/>
                <w:szCs w:val="20"/>
                <w:vertAlign w:val="baseline"/>
                <w:lang w:val="en-US" w:eastAsia="zh-CN"/>
              </w:rPr>
            </w:pPr>
            <m:oMath>
              <m:sSub>
                <m:sSubPr>
                  <m:ctrlPr>
                    <w:rPr>
                      <w:rFonts w:hint="default" w:ascii="Cambria Math" w:hAnsi="Cambria Math" w:eastAsia="宋体" w:cs="Cambria Math"/>
                      <w:i w:val="0"/>
                      <w:kern w:val="0"/>
                      <w:sz w:val="21"/>
                      <w:szCs w:val="20"/>
                      <w:vertAlign w:val="baseline"/>
                      <w:lang w:val="en-US" w:eastAsia="zh-CN" w:bidi="ar-SA"/>
                    </w:rPr>
                  </m:ctrlPr>
                </m:sSubPr>
                <m:e>
                  <m:r>
                    <m:rPr>
                      <m:sty m:val="p"/>
                    </m:rPr>
                    <w:rPr>
                      <w:rFonts w:hint="default" w:ascii="Cambria Math" w:hAnsi="Cambria Math" w:eastAsia="宋体" w:cs="Cambria Math"/>
                      <w:kern w:val="0"/>
                      <w:sz w:val="21"/>
                      <w:szCs w:val="20"/>
                      <w:vertAlign w:val="baseline"/>
                      <w:lang w:val="en-US" w:eastAsia="zh-CN" w:bidi="ar-SA"/>
                    </w:rPr>
                    <m:t>C</m:t>
                  </m:r>
                  <m:ctrlPr>
                    <w:rPr>
                      <w:rFonts w:hint="default" w:ascii="Cambria Math" w:hAnsi="Cambria Math" w:eastAsia="宋体" w:cs="Cambria Math"/>
                      <w:i w:val="0"/>
                      <w:kern w:val="0"/>
                      <w:sz w:val="21"/>
                      <w:szCs w:val="20"/>
                      <w:vertAlign w:val="baseline"/>
                      <w:lang w:val="en-US" w:eastAsia="zh-CN" w:bidi="ar-SA"/>
                    </w:rPr>
                  </m:ctrlPr>
                </m:e>
                <m:sub>
                  <m:r>
                    <m:rPr>
                      <m:sty m:val="p"/>
                    </m:rPr>
                    <w:rPr>
                      <w:rFonts w:hint="eastAsia" w:ascii="Cambria Math" w:hAnsi="Cambria Math" w:eastAsia="宋体" w:cs="Cambria Math"/>
                      <w:kern w:val="0"/>
                      <w:sz w:val="21"/>
                      <w:szCs w:val="20"/>
                      <w:vertAlign w:val="baseline"/>
                      <w:lang w:val="en-US" w:eastAsia="zh-CN" w:bidi="ar-SA"/>
                    </w:rPr>
                    <m:t>od</m:t>
                  </m:r>
                  <m:ctrlPr>
                    <w:rPr>
                      <w:rFonts w:hint="default" w:ascii="Cambria Math" w:hAnsi="Cambria Math" w:eastAsia="宋体" w:cs="Cambria Math"/>
                      <w:i w:val="0"/>
                      <w:kern w:val="0"/>
                      <w:sz w:val="21"/>
                      <w:szCs w:val="20"/>
                      <w:vertAlign w:val="baseline"/>
                      <w:lang w:val="en-US" w:eastAsia="zh-CN" w:bidi="ar-SA"/>
                    </w:rPr>
                  </m:ctrlPr>
                </m:sub>
              </m:sSub>
            </m:oMath>
            <w:r>
              <w:rPr>
                <w:rFonts w:hint="default" w:ascii="Times New Roman" w:hAnsi="Times New Roman" w:cs="Times New Roman" w:eastAsiaTheme="minorEastAsia"/>
                <w:i w:val="0"/>
                <w:kern w:val="0"/>
                <w:sz w:val="21"/>
                <w:szCs w:val="20"/>
                <w:vertAlign w:val="baseline"/>
                <w:lang w:val="en-US" w:eastAsia="zh-CN" w:bidi="ar-SA"/>
              </w:rPr>
              <w:t>——</w:t>
            </w:r>
            <w:r>
              <w:rPr>
                <w:rFonts w:hint="default" w:ascii="Times New Roman" w:hAnsi="Times New Roman" w:cs="Times New Roman" w:eastAsiaTheme="minorEastAsia"/>
                <w:kern w:val="0"/>
                <w:szCs w:val="20"/>
                <w:lang w:val="en-US" w:eastAsia="zh-CN"/>
              </w:rPr>
              <w:t>气味物质</w:t>
            </w:r>
            <w:r>
              <w:rPr>
                <w:rFonts w:hint="eastAsia" w:ascii="Times New Roman" w:hAnsi="Times New Roman" w:cs="Times New Roman"/>
                <w:kern w:val="0"/>
                <w:szCs w:val="20"/>
                <w:lang w:val="en-US" w:eastAsia="zh-CN"/>
              </w:rPr>
              <w:t>在空气中的气味阈值</w:t>
            </w:r>
            <w:r>
              <w:rPr>
                <w:rFonts w:hint="default" w:ascii="Times New Roman" w:hAnsi="Times New Roman" w:cs="Times New Roman" w:eastAsiaTheme="minorEastAsia"/>
                <w:kern w:val="0"/>
                <w:szCs w:val="20"/>
                <w:lang w:val="en-US" w:eastAsia="zh-CN"/>
              </w:rPr>
              <w:t>，ug/m</w:t>
            </w:r>
            <w:r>
              <w:rPr>
                <w:rFonts w:hint="default" w:ascii="Times New Roman" w:hAnsi="Times New Roman" w:cs="Times New Roman" w:eastAsiaTheme="minorEastAsia"/>
                <w:kern w:val="0"/>
                <w:szCs w:val="20"/>
                <w:vertAlign w:val="superscript"/>
                <w:lang w:val="en-US" w:eastAsia="zh-CN"/>
              </w:rPr>
              <w:t>3</w:t>
            </w:r>
            <w:r>
              <w:rPr>
                <w:rFonts w:hint="eastAsia" w:ascii="Times New Roman" w:hAnsi="Times New Roman" w:cs="Times New Roman"/>
                <w:kern w:val="0"/>
                <w:szCs w:val="20"/>
                <w:vertAlign w:val="baseline"/>
                <w:lang w:val="en-US" w:eastAsia="zh-CN"/>
              </w:rPr>
              <w:t>。</w:t>
            </w:r>
          </w:p>
        </w:tc>
      </w:tr>
    </w:tbl>
    <w:p w14:paraId="7F479EC1">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p>
    <w:p w14:paraId="04947578">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p>
    <w:p w14:paraId="556506C6">
      <w:pPr>
        <w:widowControl/>
        <w:tabs>
          <w:tab w:val="center" w:pos="4201"/>
          <w:tab w:val="right" w:leader="dot" w:pos="9298"/>
        </w:tabs>
        <w:autoSpaceDE w:val="0"/>
        <w:autoSpaceDN w:val="0"/>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B.2.2 当开展单一气味模拟时，10倍阈值浓度如果高于该物质的时间加权平均阈限值浓度（TLV–TWA）或国家/行业职业接触限值（OEL）时，目标浓度应以两者中较低者为上限，且试验过程中不得超过该上限。</w:t>
      </w:r>
    </w:p>
    <w:p w14:paraId="79F740CF">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B.2.3 当开展混合气味模拟时，各组分的目标浓度宜分别控制在其（5～10）倍气味阈值浓度范围内，且混合物中任何组分浓度不得超过相应的TLV—TWA或OEL值。</w:t>
      </w:r>
    </w:p>
    <w:p w14:paraId="1329C378">
      <w:pPr>
        <w:widowControl/>
        <w:tabs>
          <w:tab w:val="center" w:pos="4201"/>
          <w:tab w:val="right" w:leader="dot" w:pos="9298"/>
        </w:tabs>
        <w:autoSpaceDE w:val="0"/>
        <w:autoSpaceDN w:val="0"/>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B.2.4 物质的气味阈值可查询相关文献报道，也可按GB/T43353-2023中9.7的规定进行稀释因子的测定。该物质在1m</w:t>
      </w:r>
      <w:r>
        <w:rPr>
          <w:rFonts w:hint="eastAsia" w:ascii="Times New Roman" w:hAnsi="Times New Roman" w:eastAsia="宋体" w:cs="Times New Roman"/>
          <w:kern w:val="0"/>
          <w:szCs w:val="20"/>
          <w:vertAlign w:val="superscript"/>
          <w:lang w:val="en-US" w:eastAsia="zh-CN"/>
        </w:rPr>
        <w:t>3</w:t>
      </w:r>
      <w:r>
        <w:rPr>
          <w:rFonts w:hint="eastAsia" w:ascii="Times New Roman" w:hAnsi="Times New Roman" w:eastAsia="宋体" w:cs="Times New Roman"/>
          <w:kern w:val="0"/>
          <w:szCs w:val="20"/>
          <w:lang w:val="en-US" w:eastAsia="zh-CN"/>
        </w:rPr>
        <w:t>空气中的质量浓度除以稀释因子即为该物质的气味阈值。</w:t>
      </w:r>
    </w:p>
    <w:p w14:paraId="0BE422AA">
      <w:pPr>
        <w:widowControl/>
        <w:tabs>
          <w:tab w:val="center" w:pos="4201"/>
          <w:tab w:val="right" w:leader="dot" w:pos="9298"/>
        </w:tabs>
        <w:autoSpaceDE w:val="0"/>
        <w:autoSpaceDN w:val="0"/>
        <w:spacing w:line="360" w:lineRule="auto"/>
        <w:rPr>
          <w:rFonts w:hint="default" w:ascii="黑体" w:hAnsi="黑体" w:eastAsia="黑体" w:cs="黑体"/>
          <w:kern w:val="0"/>
          <w:szCs w:val="20"/>
          <w:lang w:val="en-US" w:eastAsia="zh-CN"/>
        </w:rPr>
      </w:pPr>
      <w:r>
        <w:rPr>
          <w:rFonts w:hint="eastAsia" w:ascii="黑体" w:hAnsi="黑体" w:eastAsia="黑体" w:cs="黑体"/>
          <w:kern w:val="0"/>
          <w:szCs w:val="20"/>
          <w:lang w:val="en-US" w:eastAsia="zh-CN"/>
        </w:rPr>
        <w:t>B.2 气味模拟溶液配制</w:t>
      </w:r>
    </w:p>
    <w:p w14:paraId="40E573EB">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B.2.1 向试验舱中的投加量按照公式B.2进行计算。</w:t>
      </w:r>
    </w:p>
    <w:tbl>
      <w:tblPr>
        <w:tblStyle w:val="14"/>
        <w:tblW w:w="95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00"/>
        <w:gridCol w:w="6013"/>
        <w:gridCol w:w="1466"/>
      </w:tblGrid>
      <w:tr w14:paraId="3F835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00" w:type="dxa"/>
            <w:vAlign w:val="center"/>
          </w:tcPr>
          <w:p w14:paraId="25774AF8">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p>
        </w:tc>
        <w:tc>
          <w:tcPr>
            <w:tcW w:w="6013" w:type="dxa"/>
            <w:vAlign w:val="center"/>
          </w:tcPr>
          <w:p w14:paraId="7623CCDB">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m:oMathPara>
              <m:oMath>
                <m:sSub>
                  <m:sSubPr>
                    <m:ctrlPr>
                      <w:rPr>
                        <w:rFonts w:hint="default" w:ascii="Cambria Math" w:hAnsi="Cambria Math" w:eastAsia="宋体" w:cs="Times New Roman"/>
                        <w:b w:val="0"/>
                        <w:i w:val="0"/>
                        <w:kern w:val="0"/>
                        <w:sz w:val="21"/>
                        <w:szCs w:val="20"/>
                        <w:vertAlign w:val="baseline"/>
                        <w:lang w:val="en-US" w:eastAsia="zh-CN" w:bidi="ar-SA"/>
                      </w:rPr>
                    </m:ctrlPr>
                  </m:sSubPr>
                  <m:e>
                    <m:r>
                      <m:rPr>
                        <m:sty m:val="p"/>
                      </m:rPr>
                      <w:rPr>
                        <w:rFonts w:hint="default" w:ascii="Cambria Math" w:hAnsi="Cambria Math" w:eastAsia="宋体" w:cs="Times New Roman"/>
                        <w:kern w:val="0"/>
                        <w:sz w:val="21"/>
                        <w:szCs w:val="20"/>
                        <w:vertAlign w:val="baseline"/>
                        <w:lang w:val="en-US" w:eastAsia="zh-CN" w:bidi="ar-SA"/>
                      </w:rPr>
                      <m:t>V</m:t>
                    </m:r>
                    <m:ctrlPr>
                      <w:rPr>
                        <w:rFonts w:hint="default" w:ascii="Cambria Math" w:hAnsi="Cambria Math" w:eastAsia="宋体" w:cs="Times New Roman"/>
                        <w:b w:val="0"/>
                        <w:i w:val="0"/>
                        <w:kern w:val="0"/>
                        <w:sz w:val="21"/>
                        <w:szCs w:val="20"/>
                        <w:vertAlign w:val="baseline"/>
                        <w:lang w:val="en-US" w:eastAsia="zh-CN" w:bidi="ar-SA"/>
                      </w:rPr>
                    </m:ctrlPr>
                  </m:e>
                  <m:sub>
                    <m:r>
                      <m:rPr>
                        <m:nor/>
                        <m:sty m:val="p"/>
                      </m:rPr>
                      <w:rPr>
                        <w:rFonts w:hint="default" w:ascii="Times New Roman" w:hAnsi="Times New Roman" w:cs="Times New Roman"/>
                        <w:b w:val="0"/>
                        <w:i w:val="0"/>
                        <w:kern w:val="0"/>
                        <w:sz w:val="21"/>
                        <w:szCs w:val="20"/>
                        <w:vertAlign w:val="baseline"/>
                        <w:lang w:val="en-US" w:eastAsia="zh-CN" w:bidi="ar-SA"/>
                      </w:rPr>
                      <m:t>add</m:t>
                    </m:r>
                    <m:ctrlPr>
                      <w:rPr>
                        <w:rFonts w:hint="default" w:ascii="Cambria Math" w:hAnsi="Cambria Math" w:eastAsia="宋体" w:cs="Times New Roman"/>
                        <w:b w:val="0"/>
                        <w:i w:val="0"/>
                        <w:kern w:val="0"/>
                        <w:sz w:val="21"/>
                        <w:szCs w:val="20"/>
                        <w:vertAlign w:val="baseline"/>
                        <w:lang w:val="en-US" w:eastAsia="zh-CN" w:bidi="ar-SA"/>
                      </w:rPr>
                    </m:ctrlPr>
                  </m:sub>
                </m:sSub>
                <m:r>
                  <m:rPr>
                    <m:sty m:val="p"/>
                  </m:rPr>
                  <w:rPr>
                    <w:rFonts w:hint="default" w:ascii="Cambria Math" w:hAnsi="Cambria Math" w:eastAsia="宋体" w:cs="Times New Roman"/>
                    <w:kern w:val="0"/>
                    <w:sz w:val="21"/>
                    <w:szCs w:val="20"/>
                    <w:vertAlign w:val="baseline"/>
                    <w:lang w:val="en-US" w:eastAsia="zh-CN" w:bidi="ar-SA"/>
                  </w:rPr>
                  <m:t>=</m:t>
                </m:r>
                <m:f>
                  <m:fPr>
                    <m:ctrlPr>
                      <w:rPr>
                        <w:rFonts w:hint="default" w:ascii="Cambria Math" w:hAnsi="Cambria Math" w:eastAsia="宋体" w:cs="Times New Roman"/>
                        <w:b w:val="0"/>
                        <w:i w:val="0"/>
                        <w:kern w:val="0"/>
                        <w:sz w:val="21"/>
                        <w:szCs w:val="20"/>
                        <w:vertAlign w:val="baseline"/>
                        <w:lang w:val="en-US" w:eastAsia="zh-CN" w:bidi="ar-SA"/>
                      </w:rPr>
                    </m:ctrlPr>
                  </m:fPr>
                  <m:num>
                    <m:sSub>
                      <m:sSubPr>
                        <m:ctrlPr>
                          <w:rPr>
                            <w:rFonts w:hint="default" w:ascii="Cambria Math" w:hAnsi="Cambria Math" w:eastAsia="宋体" w:cs="Times New Roman"/>
                            <w:b w:val="0"/>
                            <w:i w:val="0"/>
                            <w:kern w:val="0"/>
                            <w:sz w:val="21"/>
                            <w:szCs w:val="20"/>
                            <w:vertAlign w:val="baseline"/>
                            <w:lang w:val="en-US" w:eastAsia="zh-CN" w:bidi="ar-SA"/>
                          </w:rPr>
                        </m:ctrlPr>
                      </m:sSubPr>
                      <m:e>
                        <m:r>
                          <m:rPr>
                            <m:sty m:val="p"/>
                          </m:rPr>
                          <w:rPr>
                            <w:rFonts w:hint="default" w:ascii="Cambria Math" w:hAnsi="Cambria Math" w:eastAsia="宋体" w:cs="Times New Roman"/>
                            <w:kern w:val="0"/>
                            <w:sz w:val="21"/>
                            <w:szCs w:val="20"/>
                            <w:vertAlign w:val="baseline"/>
                            <w:lang w:val="en-US" w:eastAsia="zh-CN" w:bidi="ar-SA"/>
                          </w:rPr>
                          <m:t>C</m:t>
                        </m:r>
                        <m:ctrlPr>
                          <w:rPr>
                            <w:rFonts w:hint="default" w:ascii="Cambria Math" w:hAnsi="Cambria Math" w:eastAsia="宋体" w:cs="Times New Roman"/>
                            <w:b w:val="0"/>
                            <w:i w:val="0"/>
                            <w:kern w:val="0"/>
                            <w:sz w:val="21"/>
                            <w:szCs w:val="20"/>
                            <w:vertAlign w:val="baseline"/>
                            <w:lang w:val="en-US" w:eastAsia="zh-CN" w:bidi="ar-SA"/>
                          </w:rPr>
                        </m:ctrlPr>
                      </m:e>
                      <m:sub>
                        <m:r>
                          <m:rPr>
                            <m:sty m:val="p"/>
                          </m:rPr>
                          <w:rPr>
                            <w:rFonts w:hint="default" w:ascii="Cambria Math" w:hAnsi="Cambria Math" w:eastAsia="宋体" w:cs="Times New Roman"/>
                            <w:kern w:val="0"/>
                            <w:sz w:val="21"/>
                            <w:szCs w:val="20"/>
                            <w:vertAlign w:val="baseline"/>
                            <w:lang w:val="en-US" w:eastAsia="zh-CN" w:bidi="ar-SA"/>
                          </w:rPr>
                          <m:t>t</m:t>
                        </m:r>
                        <m:ctrlPr>
                          <w:rPr>
                            <w:rFonts w:hint="default" w:ascii="Cambria Math" w:hAnsi="Cambria Math" w:eastAsia="宋体" w:cs="Times New Roman"/>
                            <w:b w:val="0"/>
                            <w:kern w:val="0"/>
                            <w:sz w:val="21"/>
                            <w:szCs w:val="20"/>
                            <w:vertAlign w:val="baseline"/>
                            <w:lang w:val="en-US" w:eastAsia="zh-CN" w:bidi="ar-SA"/>
                          </w:rPr>
                        </m:ctrlPr>
                      </m:sub>
                    </m:sSub>
                    <m:r>
                      <m:rPr>
                        <m:sty m:val="p"/>
                      </m:rPr>
                      <w:rPr>
                        <w:rFonts w:ascii="Cambria Math" w:hAnsi="Cambria Math" w:cs="Times New Roman"/>
                        <w:kern w:val="0"/>
                        <w:sz w:val="21"/>
                        <w:szCs w:val="20"/>
                        <w:vertAlign w:val="baseline"/>
                        <w:lang w:val="en-US" w:bidi="ar-SA"/>
                      </w:rPr>
                      <m:t>×</m:t>
                    </m:r>
                    <m:sSub>
                      <m:sSubPr>
                        <m:ctrlPr>
                          <w:rPr>
                            <w:rFonts w:ascii="Cambria Math" w:hAnsi="Cambria Math" w:cs="Times New Roman"/>
                            <w:kern w:val="0"/>
                            <w:sz w:val="21"/>
                            <w:szCs w:val="20"/>
                            <w:vertAlign w:val="baseline"/>
                            <w:lang w:val="en-US" w:bidi="ar-SA"/>
                          </w:rPr>
                        </m:ctrlPr>
                      </m:sSubPr>
                      <m:e>
                        <m:r>
                          <m:rPr>
                            <m:sty m:val="p"/>
                          </m:rPr>
                          <w:rPr>
                            <w:rFonts w:hint="default" w:ascii="Cambria Math" w:hAnsi="Cambria Math" w:cs="Times New Roman"/>
                            <w:kern w:val="0"/>
                            <w:sz w:val="21"/>
                            <w:szCs w:val="20"/>
                            <w:vertAlign w:val="baseline"/>
                            <w:lang w:val="en-US" w:eastAsia="zh-CN" w:bidi="ar-SA"/>
                          </w:rPr>
                          <m:t>V</m:t>
                        </m:r>
                        <m:ctrlPr>
                          <w:rPr>
                            <w:rFonts w:ascii="Cambria Math" w:hAnsi="Cambria Math" w:cs="Times New Roman"/>
                            <w:kern w:val="0"/>
                            <w:sz w:val="21"/>
                            <w:szCs w:val="20"/>
                            <w:vertAlign w:val="baseline"/>
                            <w:lang w:val="en-US" w:bidi="ar-SA"/>
                          </w:rPr>
                        </m:ctrlPr>
                      </m:e>
                      <m:sub>
                        <m:r>
                          <m:rPr>
                            <m:sty m:val="p"/>
                          </m:rPr>
                          <w:rPr>
                            <w:rFonts w:hint="eastAsia" w:ascii="Times New Roman" w:hAnsi="Times New Roman" w:cs="Times New Roman"/>
                            <w:kern w:val="0"/>
                            <w:sz w:val="21"/>
                            <w:szCs w:val="20"/>
                            <w:vertAlign w:val="baseline"/>
                            <w:lang w:val="en-US" w:eastAsia="zh-CN" w:bidi="ar-SA"/>
                          </w:rPr>
                          <m:t>chamber</m:t>
                        </m:r>
                        <m:ctrlPr>
                          <w:rPr>
                            <w:rFonts w:ascii="Cambria Math" w:hAnsi="Cambria Math" w:cs="Times New Roman"/>
                            <w:kern w:val="0"/>
                            <w:sz w:val="21"/>
                            <w:szCs w:val="20"/>
                            <w:vertAlign w:val="baseline"/>
                            <w:lang w:val="en-US" w:bidi="ar-SA"/>
                          </w:rPr>
                        </m:ctrlPr>
                      </m:sub>
                    </m:sSub>
                    <m:ctrlPr>
                      <w:rPr>
                        <w:rFonts w:hint="default" w:ascii="Cambria Math" w:hAnsi="Cambria Math" w:eastAsia="宋体" w:cs="Times New Roman"/>
                        <w:b w:val="0"/>
                        <w:kern w:val="0"/>
                        <w:sz w:val="21"/>
                        <w:szCs w:val="20"/>
                        <w:vertAlign w:val="baseline"/>
                        <w:lang w:val="en-US" w:eastAsia="zh-CN" w:bidi="ar-SA"/>
                      </w:rPr>
                    </m:ctrlPr>
                  </m:num>
                  <m:den>
                    <m:r>
                      <m:rPr>
                        <m:sty m:val="p"/>
                      </m:rPr>
                      <w:rPr>
                        <w:rFonts w:ascii="Cambria Math" w:hAnsi="Cambria Math" w:cs="Times New Roman"/>
                        <w:kern w:val="0"/>
                        <w:sz w:val="21"/>
                        <w:szCs w:val="20"/>
                        <w:vertAlign w:val="baseline"/>
                        <w:lang w:val="en-US" w:bidi="ar-SA"/>
                      </w:rPr>
                      <m:t>ω×ρ</m:t>
                    </m:r>
                    <m:ctrlPr>
                      <w:rPr>
                        <w:rFonts w:hint="default" w:ascii="Cambria Math" w:hAnsi="Cambria Math" w:eastAsia="宋体" w:cs="Times New Roman"/>
                        <w:b w:val="0"/>
                        <w:i w:val="0"/>
                        <w:kern w:val="0"/>
                        <w:sz w:val="21"/>
                        <w:szCs w:val="20"/>
                        <w:vertAlign w:val="baseline"/>
                        <w:lang w:val="en-US" w:eastAsia="zh-CN" w:bidi="ar-SA"/>
                      </w:rPr>
                    </m:ctrlPr>
                  </m:den>
                </m:f>
              </m:oMath>
            </m:oMathPara>
          </w:p>
        </w:tc>
        <w:tc>
          <w:tcPr>
            <w:tcW w:w="1466" w:type="dxa"/>
            <w:vAlign w:val="center"/>
          </w:tcPr>
          <w:p w14:paraId="2F106BC4">
            <w:pPr>
              <w:widowControl/>
              <w:tabs>
                <w:tab w:val="center" w:pos="4201"/>
                <w:tab w:val="right" w:leader="dot" w:pos="9298"/>
              </w:tabs>
              <w:autoSpaceDE w:val="0"/>
              <w:autoSpaceDN w:val="0"/>
              <w:jc w:val="right"/>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（B.2）</w:t>
            </w:r>
          </w:p>
        </w:tc>
      </w:tr>
    </w:tbl>
    <w:p w14:paraId="2573D343">
      <w:pPr>
        <w:widowControl/>
        <w:tabs>
          <w:tab w:val="center" w:pos="4201"/>
          <w:tab w:val="right" w:leader="dot" w:pos="9298"/>
        </w:tabs>
        <w:autoSpaceDE w:val="0"/>
        <w:autoSpaceDN w:val="0"/>
        <w:ind w:left="0" w:leftChars="0" w:firstLine="420" w:firstLineChars="200"/>
        <w:rPr>
          <w:rFonts w:hint="eastAsia" w:asciiTheme="minorEastAsia" w:hAnsiTheme="minorEastAsia" w:eastAsiaTheme="minorEastAsia" w:cstheme="minorEastAsia"/>
          <w:kern w:val="0"/>
          <w:szCs w:val="20"/>
          <w:lang w:val="en-US" w:eastAsia="zh-CN"/>
        </w:rPr>
      </w:pPr>
      <w:r>
        <w:rPr>
          <w:rFonts w:hint="eastAsia" w:asciiTheme="minorEastAsia" w:hAnsiTheme="minorEastAsia" w:eastAsiaTheme="minorEastAsia" w:cstheme="minorEastAsia"/>
          <w:kern w:val="0"/>
          <w:szCs w:val="20"/>
          <w:lang w:val="en-US" w:eastAsia="zh-CN"/>
        </w:rPr>
        <w:t>式中：</w:t>
      </w:r>
    </w:p>
    <w:p w14:paraId="2CED6CCF">
      <w:pPr>
        <w:widowControl/>
        <w:tabs>
          <w:tab w:val="center" w:pos="4201"/>
          <w:tab w:val="right" w:leader="dot" w:pos="9298"/>
        </w:tabs>
        <w:autoSpaceDE w:val="0"/>
        <w:autoSpaceDN w:val="0"/>
        <w:ind w:left="0" w:leftChars="0" w:firstLine="420" w:firstLineChars="200"/>
        <w:rPr>
          <w:rFonts w:hint="default" w:ascii="Times New Roman" w:hAnsi="Times New Roman" w:cs="Times New Roman" w:eastAsiaTheme="minorEastAsia"/>
          <w:kern w:val="0"/>
          <w:szCs w:val="20"/>
          <w:lang w:val="en-US" w:eastAsia="zh-CN"/>
        </w:rPr>
      </w:pPr>
      <m:oMath>
        <m:sSub>
          <m:sSubPr>
            <m:ctrlPr>
              <w:rPr>
                <w:rFonts w:hint="default" w:ascii="Times New Roman" w:hAnsi="Times New Roman" w:cs="Times New Roman" w:eastAsiaTheme="minorEastAsia"/>
                <w:b w:val="0"/>
                <w:i w:val="0"/>
                <w:kern w:val="0"/>
                <w:sz w:val="21"/>
                <w:szCs w:val="20"/>
                <w:vertAlign w:val="baseline"/>
                <w:lang w:val="en-US" w:eastAsia="zh-CN" w:bidi="ar-SA"/>
              </w:rPr>
            </m:ctrlPr>
          </m:sSubPr>
          <m:e>
            <m:r>
              <m:rPr>
                <m:nor/>
                <m:sty m:val="p"/>
              </m:rPr>
              <w:rPr>
                <w:rFonts w:hint="default" w:ascii="Times New Roman" w:hAnsi="Times New Roman" w:cs="Times New Roman" w:eastAsiaTheme="minorEastAsia"/>
                <w:b w:val="0"/>
                <w:i w:val="0"/>
                <w:kern w:val="0"/>
                <w:sz w:val="21"/>
                <w:szCs w:val="20"/>
                <w:vertAlign w:val="baseline"/>
                <w:lang w:val="en-US" w:eastAsia="zh-CN" w:bidi="ar-SA"/>
              </w:rPr>
              <m:t>V</m:t>
            </m:r>
            <m:ctrlPr>
              <w:rPr>
                <w:rFonts w:hint="default" w:ascii="Times New Roman" w:hAnsi="Times New Roman" w:cs="Times New Roman" w:eastAsiaTheme="minorEastAsia"/>
                <w:b w:val="0"/>
                <w:i w:val="0"/>
                <w:kern w:val="0"/>
                <w:sz w:val="21"/>
                <w:szCs w:val="20"/>
                <w:vertAlign w:val="baseline"/>
                <w:lang w:val="en-US" w:eastAsia="zh-CN" w:bidi="ar-SA"/>
              </w:rPr>
            </m:ctrlPr>
          </m:e>
          <m:sub>
            <m:r>
              <m:rPr>
                <m:nor/>
                <m:sty m:val="p"/>
              </m:rPr>
              <w:rPr>
                <w:rFonts w:hint="default" w:ascii="Times New Roman" w:hAnsi="Times New Roman" w:cs="Times New Roman"/>
                <w:b w:val="0"/>
                <w:i w:val="0"/>
                <w:kern w:val="0"/>
                <w:sz w:val="21"/>
                <w:szCs w:val="20"/>
                <w:vertAlign w:val="baseline"/>
                <w:lang w:val="en-US" w:eastAsia="zh-CN" w:bidi="ar-SA"/>
              </w:rPr>
              <m:t>add</m:t>
            </m:r>
            <m:ctrlPr>
              <w:rPr>
                <w:rFonts w:hint="default" w:ascii="Times New Roman" w:hAnsi="Times New Roman" w:cs="Times New Roman" w:eastAsiaTheme="minorEastAsia"/>
                <w:b w:val="0"/>
                <w:i w:val="0"/>
                <w:kern w:val="0"/>
                <w:sz w:val="21"/>
                <w:szCs w:val="20"/>
                <w:vertAlign w:val="baseline"/>
                <w:lang w:val="en-US" w:eastAsia="zh-CN" w:bidi="ar-SA"/>
              </w:rPr>
            </m:ctrlPr>
          </m:sub>
        </m:sSub>
      </m:oMath>
      <w:r>
        <w:rPr>
          <w:rFonts w:hint="default" w:ascii="Times New Roman" w:hAnsi="Times New Roman" w:cs="Times New Roman" w:eastAsiaTheme="minorEastAsia"/>
          <w:b w:val="0"/>
          <w:i w:val="0"/>
          <w:kern w:val="0"/>
          <w:sz w:val="21"/>
          <w:szCs w:val="20"/>
          <w:vertAlign w:val="baseline"/>
          <w:lang w:val="en-US" w:eastAsia="zh-CN" w:bidi="ar-SA"/>
        </w:rPr>
        <w:t>——向试验舱中投加的气味模拟溶液体积，uL；</w:t>
      </w:r>
    </w:p>
    <w:p w14:paraId="5FDDCC9B">
      <w:pPr>
        <w:widowControl/>
        <w:tabs>
          <w:tab w:val="center" w:pos="4201"/>
          <w:tab w:val="right" w:leader="dot" w:pos="9298"/>
        </w:tabs>
        <w:autoSpaceDE w:val="0"/>
        <w:autoSpaceDN w:val="0"/>
        <w:spacing w:line="240" w:lineRule="auto"/>
        <w:ind w:left="0" w:leftChars="0" w:firstLine="420" w:firstLineChars="200"/>
        <w:rPr>
          <w:rFonts w:hint="default" w:ascii="Times New Roman" w:hAnsi="Times New Roman" w:cs="Times New Roman" w:eastAsiaTheme="minorEastAsia"/>
          <w:kern w:val="0"/>
          <w:szCs w:val="20"/>
          <w:lang w:val="en-US" w:eastAsia="zh-CN"/>
        </w:rPr>
      </w:pPr>
      <m:oMath>
        <m:sSub>
          <m:sSubPr>
            <m:ctrlPr>
              <w:rPr>
                <w:rFonts w:hint="default" w:ascii="Cambria Math" w:hAnsi="Cambria Math" w:cs="Times New Roman" w:eastAsiaTheme="minorEastAsia"/>
                <w:i w:val="0"/>
                <w:kern w:val="0"/>
                <w:sz w:val="21"/>
                <w:szCs w:val="20"/>
                <w:vertAlign w:val="baseline"/>
                <w:lang w:val="en-US" w:eastAsia="zh-CN" w:bidi="ar-SA"/>
              </w:rPr>
            </m:ctrlPr>
          </m:sSubPr>
          <m:e>
            <m:r>
              <m:rPr>
                <m:nor/>
                <m:sty m:val="p"/>
              </m:rPr>
              <w:rPr>
                <w:rFonts w:hint="default" w:ascii="Times New Roman" w:hAnsi="Times New Roman" w:cs="Times New Roman" w:eastAsiaTheme="minorEastAsia"/>
                <w:b w:val="0"/>
                <w:i w:val="0"/>
                <w:kern w:val="0"/>
                <w:sz w:val="21"/>
                <w:szCs w:val="20"/>
                <w:vertAlign w:val="baseline"/>
                <w:lang w:val="en-US" w:eastAsia="zh-CN" w:bidi="ar-SA"/>
              </w:rPr>
              <m:t>C</m:t>
            </m:r>
            <m:ctrlPr>
              <w:rPr>
                <w:rFonts w:hint="default" w:ascii="Cambria Math" w:hAnsi="Cambria Math" w:cs="Times New Roman" w:eastAsiaTheme="minorEastAsia"/>
                <w:i w:val="0"/>
                <w:kern w:val="0"/>
                <w:sz w:val="21"/>
                <w:szCs w:val="20"/>
                <w:vertAlign w:val="baseline"/>
                <w:lang w:val="en-US" w:eastAsia="zh-CN" w:bidi="ar-SA"/>
              </w:rPr>
            </m:ctrlPr>
          </m:e>
          <m:sub>
            <m:r>
              <m:rPr>
                <m:nor/>
                <m:sty m:val="p"/>
              </m:rPr>
              <w:rPr>
                <w:rFonts w:hint="default" w:ascii="Times New Roman" w:hAnsi="Times New Roman" w:cs="Times New Roman" w:eastAsiaTheme="minorEastAsia"/>
                <w:b w:val="0"/>
                <w:i w:val="0"/>
                <w:kern w:val="0"/>
                <w:sz w:val="21"/>
                <w:szCs w:val="20"/>
                <w:vertAlign w:val="baseline"/>
                <w:lang w:val="en-US" w:eastAsia="zh-CN" w:bidi="ar-SA"/>
              </w:rPr>
              <m:t>t</m:t>
            </m:r>
            <m:ctrlPr>
              <w:rPr>
                <w:rFonts w:hint="default" w:ascii="Cambria Math" w:hAnsi="Cambria Math" w:cs="Times New Roman" w:eastAsiaTheme="minorEastAsia"/>
                <w:i w:val="0"/>
                <w:kern w:val="0"/>
                <w:sz w:val="21"/>
                <w:szCs w:val="20"/>
                <w:vertAlign w:val="baseline"/>
                <w:lang w:val="en-US" w:eastAsia="zh-CN" w:bidi="ar-SA"/>
              </w:rPr>
            </m:ctrlPr>
          </m:sub>
        </m:sSub>
      </m:oMath>
      <w:r>
        <w:rPr>
          <w:rFonts w:hint="default" w:ascii="Times New Roman" w:hAnsi="Times New Roman" w:cs="Times New Roman" w:eastAsiaTheme="minorEastAsia"/>
          <w:i w:val="0"/>
          <w:kern w:val="0"/>
          <w:sz w:val="21"/>
          <w:szCs w:val="20"/>
          <w:vertAlign w:val="baseline"/>
          <w:lang w:val="en-US" w:eastAsia="zh-CN" w:bidi="ar-SA"/>
        </w:rPr>
        <w:t>——试验舱中</w:t>
      </w:r>
      <w:r>
        <w:rPr>
          <w:rFonts w:hint="default" w:ascii="Times New Roman" w:hAnsi="Times New Roman" w:cs="Times New Roman" w:eastAsiaTheme="minorEastAsia"/>
          <w:kern w:val="0"/>
          <w:szCs w:val="20"/>
          <w:lang w:val="en-US" w:eastAsia="zh-CN"/>
        </w:rPr>
        <w:t>气味物质的目标浓度，ug/m</w:t>
      </w:r>
      <w:r>
        <w:rPr>
          <w:rFonts w:hint="default" w:ascii="Times New Roman" w:hAnsi="Times New Roman" w:cs="Times New Roman" w:eastAsiaTheme="minorEastAsia"/>
          <w:kern w:val="0"/>
          <w:szCs w:val="20"/>
          <w:vertAlign w:val="superscript"/>
          <w:lang w:val="en-US" w:eastAsia="zh-CN"/>
        </w:rPr>
        <w:t>3</w:t>
      </w:r>
      <w:r>
        <w:rPr>
          <w:rFonts w:hint="default" w:ascii="Times New Roman" w:hAnsi="Times New Roman" w:cs="Times New Roman" w:eastAsiaTheme="minorEastAsia"/>
          <w:kern w:val="0"/>
          <w:szCs w:val="20"/>
          <w:vertAlign w:val="baseline"/>
          <w:lang w:val="en-US" w:eastAsia="zh-CN"/>
        </w:rPr>
        <w:t>;</w:t>
      </w:r>
    </w:p>
    <w:p w14:paraId="019F8FC9">
      <w:pPr>
        <w:widowControl/>
        <w:tabs>
          <w:tab w:val="center" w:pos="4201"/>
          <w:tab w:val="right" w:leader="dot" w:pos="9298"/>
        </w:tabs>
        <w:autoSpaceDE w:val="0"/>
        <w:autoSpaceDN w:val="0"/>
        <w:spacing w:line="240" w:lineRule="auto"/>
        <w:ind w:left="0" w:leftChars="0" w:firstLine="420" w:firstLineChars="200"/>
        <w:rPr>
          <w:rFonts w:hint="default" w:ascii="Times New Roman" w:hAnsi="Times New Roman" w:cs="Times New Roman" w:eastAsiaTheme="minorEastAsia"/>
          <w:i w:val="0"/>
          <w:kern w:val="0"/>
          <w:sz w:val="21"/>
          <w:szCs w:val="20"/>
          <w:vertAlign w:val="superscript"/>
          <w:lang w:val="en-US" w:eastAsia="zh-CN" w:bidi="ar-SA"/>
        </w:rPr>
      </w:pPr>
      <m:oMath>
        <m:sSub>
          <m:sSubPr>
            <m:ctrlPr>
              <w:rPr>
                <w:rFonts w:hint="default" w:ascii="Times New Roman" w:hAnsi="Times New Roman" w:cs="Times New Roman" w:eastAsiaTheme="minorEastAsia"/>
                <w:b w:val="0"/>
                <w:i w:val="0"/>
                <w:kern w:val="0"/>
                <w:sz w:val="21"/>
                <w:szCs w:val="20"/>
                <w:vertAlign w:val="baseline"/>
                <w:lang w:val="en-US" w:eastAsia="zh-CN" w:bidi="ar-SA"/>
              </w:rPr>
            </m:ctrlPr>
          </m:sSubPr>
          <m:e>
            <m:r>
              <m:rPr>
                <m:nor/>
                <m:sty m:val="p"/>
              </m:rPr>
              <w:rPr>
                <w:rFonts w:hint="default" w:ascii="Times New Roman" w:hAnsi="Times New Roman" w:cs="Times New Roman" w:eastAsiaTheme="minorEastAsia"/>
                <w:b w:val="0"/>
                <w:i w:val="0"/>
                <w:kern w:val="0"/>
                <w:sz w:val="21"/>
                <w:szCs w:val="20"/>
                <w:vertAlign w:val="baseline"/>
                <w:lang w:val="en-US" w:eastAsia="zh-CN" w:bidi="ar-SA"/>
              </w:rPr>
              <m:t>V</m:t>
            </m:r>
            <m:ctrlPr>
              <w:rPr>
                <w:rFonts w:hint="default" w:ascii="Times New Roman" w:hAnsi="Times New Roman" w:cs="Times New Roman" w:eastAsiaTheme="minorEastAsia"/>
                <w:b w:val="0"/>
                <w:i w:val="0"/>
                <w:kern w:val="0"/>
                <w:sz w:val="21"/>
                <w:szCs w:val="20"/>
                <w:vertAlign w:val="baseline"/>
                <w:lang w:val="en-US" w:eastAsia="zh-CN" w:bidi="ar-SA"/>
              </w:rPr>
            </m:ctrlPr>
          </m:e>
          <m:sub>
            <m:r>
              <m:rPr>
                <m:sty m:val="p"/>
              </m:rPr>
              <w:rPr>
                <w:rFonts w:hint="eastAsia" w:ascii="Times New Roman" w:hAnsi="Times New Roman" w:cs="Times New Roman"/>
                <w:kern w:val="0"/>
                <w:sz w:val="21"/>
                <w:szCs w:val="20"/>
                <w:vertAlign w:val="baseline"/>
                <w:lang w:val="en-US" w:eastAsia="zh-CN" w:bidi="ar-SA"/>
              </w:rPr>
              <m:t>chamber</m:t>
            </m:r>
            <m:ctrlPr>
              <w:rPr>
                <w:rFonts w:hint="default" w:ascii="Times New Roman" w:hAnsi="Times New Roman" w:cs="Times New Roman" w:eastAsiaTheme="minorEastAsia"/>
                <w:b w:val="0"/>
                <w:i w:val="0"/>
                <w:kern w:val="0"/>
                <w:sz w:val="21"/>
                <w:szCs w:val="20"/>
                <w:vertAlign w:val="baseline"/>
                <w:lang w:val="en-US" w:eastAsia="zh-CN" w:bidi="ar-SA"/>
              </w:rPr>
            </m:ctrlPr>
          </m:sub>
        </m:sSub>
      </m:oMath>
      <w:r>
        <w:rPr>
          <w:rFonts w:hint="default" w:ascii="Times New Roman" w:hAnsi="Times New Roman" w:cs="Times New Roman" w:eastAsiaTheme="minorEastAsia"/>
          <w:lang w:val="en-US" w:eastAsia="zh-CN"/>
        </w:rPr>
        <w:t>——</w:t>
      </w:r>
      <w:r>
        <w:rPr>
          <w:rFonts w:hint="default" w:ascii="Times New Roman" w:hAnsi="Times New Roman" w:cs="Times New Roman" w:eastAsiaTheme="minorEastAsia"/>
          <w:i w:val="0"/>
          <w:kern w:val="0"/>
          <w:sz w:val="21"/>
          <w:szCs w:val="20"/>
          <w:vertAlign w:val="baseline"/>
          <w:lang w:val="en-US" w:eastAsia="zh-CN" w:bidi="ar-SA"/>
        </w:rPr>
        <w:t>试验舱舱内体积，m</w:t>
      </w:r>
      <w:r>
        <w:rPr>
          <w:rFonts w:hint="default" w:ascii="Times New Roman" w:hAnsi="Times New Roman" w:cs="Times New Roman" w:eastAsiaTheme="minorEastAsia"/>
          <w:i w:val="0"/>
          <w:kern w:val="0"/>
          <w:sz w:val="21"/>
          <w:szCs w:val="20"/>
          <w:vertAlign w:val="superscript"/>
          <w:lang w:val="en-US" w:eastAsia="zh-CN" w:bidi="ar-SA"/>
        </w:rPr>
        <w:t>3</w:t>
      </w:r>
      <w:r>
        <w:rPr>
          <w:rFonts w:hint="default" w:ascii="Times New Roman" w:hAnsi="Times New Roman" w:cs="Times New Roman" w:eastAsiaTheme="minorEastAsia"/>
          <w:i w:val="0"/>
          <w:kern w:val="0"/>
          <w:sz w:val="21"/>
          <w:szCs w:val="20"/>
          <w:vertAlign w:val="baseline"/>
          <w:lang w:val="en-US" w:eastAsia="zh-CN" w:bidi="ar-SA"/>
        </w:rPr>
        <w:t>;</w:t>
      </w:r>
    </w:p>
    <w:p w14:paraId="73E2FB50">
      <w:pPr>
        <w:widowControl/>
        <w:tabs>
          <w:tab w:val="center" w:pos="4201"/>
          <w:tab w:val="right" w:leader="dot" w:pos="9298"/>
        </w:tabs>
        <w:autoSpaceDE w:val="0"/>
        <w:autoSpaceDN w:val="0"/>
        <w:spacing w:line="240" w:lineRule="auto"/>
        <w:ind w:left="0" w:leftChars="0" w:firstLine="420" w:firstLineChars="200"/>
        <w:rPr>
          <w:rFonts w:hint="default" w:ascii="Times New Roman" w:hAnsi="Times New Roman" w:cs="Times New Roman" w:eastAsiaTheme="minorEastAsia"/>
          <w:i w:val="0"/>
          <w:kern w:val="0"/>
          <w:sz w:val="21"/>
          <w:szCs w:val="20"/>
          <w:vertAlign w:val="superscript"/>
          <w:lang w:val="en-US" w:eastAsia="zh-CN" w:bidi="ar-SA"/>
        </w:rPr>
      </w:pPr>
      <m:oMath>
        <m:r>
          <m:rPr>
            <m:nor/>
            <m:sty m:val="p"/>
          </m:rPr>
          <w:rPr>
            <w:rFonts w:hint="default" w:ascii="Times New Roman" w:hAnsi="Times New Roman" w:cs="Times New Roman" w:eastAsiaTheme="minorEastAsia"/>
            <w:b w:val="0"/>
            <w:i w:val="0"/>
            <w:kern w:val="0"/>
            <w:sz w:val="21"/>
            <w:szCs w:val="20"/>
            <w:vertAlign w:val="baseline"/>
            <w:lang w:val="en-US" w:bidi="ar-SA"/>
          </w:rPr>
          <m:t>ω</m:t>
        </m:r>
      </m:oMath>
      <w:r>
        <w:rPr>
          <w:rFonts w:hint="default" w:ascii="Times New Roman" w:hAnsi="Times New Roman" w:cs="Times New Roman" w:eastAsiaTheme="minorEastAsia"/>
          <w:b w:val="0"/>
          <w:i w:val="0"/>
          <w:kern w:val="0"/>
          <w:sz w:val="21"/>
          <w:szCs w:val="20"/>
          <w:vertAlign w:val="baseline"/>
          <w:lang w:val="en-US" w:eastAsia="zh-CN" w:bidi="ar-SA"/>
        </w:rPr>
        <w:t>——质量分数</w:t>
      </w:r>
      <w:r>
        <w:rPr>
          <w:rFonts w:hint="eastAsia" w:ascii="Times New Roman" w:hAnsi="Times New Roman" w:cs="Times New Roman"/>
          <w:b w:val="0"/>
          <w:i w:val="0"/>
          <w:kern w:val="0"/>
          <w:sz w:val="21"/>
          <w:szCs w:val="20"/>
          <w:vertAlign w:val="baseline"/>
          <w:lang w:val="en-US" w:eastAsia="zh-CN" w:bidi="ar-SA"/>
        </w:rPr>
        <w:t>，对于纯物质取1</w:t>
      </w:r>
      <w:r>
        <w:rPr>
          <w:rFonts w:hint="default" w:ascii="Times New Roman" w:hAnsi="Times New Roman" w:cs="Times New Roman" w:eastAsiaTheme="minorEastAsia"/>
          <w:b w:val="0"/>
          <w:i w:val="0"/>
          <w:kern w:val="0"/>
          <w:sz w:val="21"/>
          <w:szCs w:val="20"/>
          <w:vertAlign w:val="baseline"/>
          <w:lang w:val="en-US" w:eastAsia="zh-CN" w:bidi="ar-SA"/>
        </w:rPr>
        <w:t>;</w:t>
      </w:r>
    </w:p>
    <w:p w14:paraId="64FD4443">
      <w:pPr>
        <w:widowControl/>
        <w:tabs>
          <w:tab w:val="center" w:pos="4201"/>
          <w:tab w:val="right" w:leader="dot" w:pos="9298"/>
        </w:tabs>
        <w:autoSpaceDE w:val="0"/>
        <w:autoSpaceDN w:val="0"/>
        <w:spacing w:line="240" w:lineRule="auto"/>
        <w:ind w:left="0" w:leftChars="0" w:firstLine="420" w:firstLineChars="200"/>
        <w:rPr>
          <w:rFonts w:hint="default" w:ascii="Times New Roman" w:hAnsi="Times New Roman" w:cs="Times New Roman" w:eastAsiaTheme="minorEastAsia"/>
          <w:lang w:val="en-US" w:eastAsia="zh-CN"/>
        </w:rPr>
      </w:pPr>
      <m:oMath>
        <m:r>
          <m:rPr>
            <m:nor/>
            <m:sty m:val="p"/>
          </m:rPr>
          <w:rPr>
            <w:rFonts w:hint="default" w:ascii="Times New Roman" w:hAnsi="Times New Roman" w:cs="Times New Roman" w:eastAsiaTheme="minorEastAsia"/>
            <w:b w:val="0"/>
            <w:i w:val="0"/>
            <w:kern w:val="0"/>
            <w:sz w:val="21"/>
            <w:szCs w:val="20"/>
            <w:vertAlign w:val="baseline"/>
            <w:lang w:val="en-US" w:bidi="ar-SA"/>
          </w:rPr>
          <m:t>ρ</m:t>
        </m:r>
      </m:oMath>
      <w:r>
        <w:rPr>
          <w:rFonts w:hint="default" w:ascii="Times New Roman" w:hAnsi="Times New Roman" w:cs="Times New Roman" w:eastAsiaTheme="minorEastAsia"/>
          <w:b w:val="0"/>
          <w:i w:val="0"/>
          <w:kern w:val="0"/>
          <w:sz w:val="21"/>
          <w:szCs w:val="20"/>
          <w:vertAlign w:val="baseline"/>
          <w:lang w:val="en-US" w:eastAsia="zh-CN" w:bidi="ar-SA"/>
        </w:rPr>
        <w:t>——</w:t>
      </w:r>
      <w:r>
        <w:rPr>
          <w:rFonts w:hint="eastAsia" w:ascii="Times New Roman" w:hAnsi="Times New Roman" w:cs="Times New Roman"/>
          <w:b w:val="0"/>
          <w:i w:val="0"/>
          <w:kern w:val="0"/>
          <w:sz w:val="21"/>
          <w:szCs w:val="20"/>
          <w:vertAlign w:val="baseline"/>
          <w:lang w:val="en-US" w:eastAsia="zh-CN" w:bidi="ar-SA"/>
        </w:rPr>
        <w:t>溶液</w:t>
      </w:r>
      <w:r>
        <w:rPr>
          <w:rFonts w:hint="default" w:ascii="Times New Roman" w:hAnsi="Times New Roman" w:cs="Times New Roman" w:eastAsiaTheme="minorEastAsia"/>
          <w:b w:val="0"/>
          <w:i w:val="0"/>
          <w:kern w:val="0"/>
          <w:sz w:val="21"/>
          <w:szCs w:val="20"/>
          <w:vertAlign w:val="baseline"/>
          <w:lang w:val="en-US" w:eastAsia="zh-CN" w:bidi="ar-SA"/>
        </w:rPr>
        <w:t>密度，ug/uL。</w:t>
      </w:r>
    </w:p>
    <w:p w14:paraId="18ABDAD8">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B.2.2 如果计算得到的投加量过小，无法通过微量注射针进行投加，应先以无嗅溶剂（如液体石蜡、丙二醇、蒸馏水）配制稀释液，再注入试验舱。</w:t>
      </w:r>
    </w:p>
    <w:p w14:paraId="0D277D0D">
      <w:pPr>
        <w:widowControl/>
        <w:tabs>
          <w:tab w:val="center" w:pos="4201"/>
          <w:tab w:val="right" w:leader="dot" w:pos="9298"/>
        </w:tabs>
        <w:autoSpaceDE w:val="0"/>
        <w:autoSpaceDN w:val="0"/>
        <w:spacing w:line="360" w:lineRule="auto"/>
        <w:rPr>
          <w:rFonts w:hint="eastAsia" w:ascii="黑体" w:hAnsi="黑体" w:eastAsia="黑体" w:cs="黑体"/>
          <w:kern w:val="0"/>
          <w:szCs w:val="20"/>
          <w:lang w:val="en-US" w:eastAsia="zh-CN"/>
        </w:rPr>
      </w:pPr>
      <w:r>
        <w:rPr>
          <w:rFonts w:hint="eastAsia" w:ascii="黑体" w:hAnsi="黑体" w:eastAsia="黑体" w:cs="黑体"/>
          <w:kern w:val="0"/>
          <w:szCs w:val="20"/>
          <w:lang w:val="en-US" w:eastAsia="zh-CN"/>
        </w:rPr>
        <w:t>B.3典型气味模拟溶液及配制示例</w:t>
      </w:r>
    </w:p>
    <w:p w14:paraId="5FBB687C">
      <w:pPr>
        <w:widowControl/>
        <w:tabs>
          <w:tab w:val="center" w:pos="4201"/>
          <w:tab w:val="right" w:leader="dot" w:pos="9298"/>
        </w:tabs>
        <w:autoSpaceDE w:val="0"/>
        <w:autoSpaceDN w:val="0"/>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B.3.1 通过查询文献可获得物质的阈值信息，结果见表B.1。</w:t>
      </w:r>
    </w:p>
    <w:p w14:paraId="633E85DB">
      <w:pPr>
        <w:widowControl/>
        <w:tabs>
          <w:tab w:val="center" w:pos="4201"/>
          <w:tab w:val="right" w:leader="dot" w:pos="9298"/>
        </w:tabs>
        <w:autoSpaceDE w:val="0"/>
        <w:autoSpaceDN w:val="0"/>
        <w:spacing w:line="360" w:lineRule="auto"/>
        <w:jc w:val="center"/>
        <w:rPr>
          <w:rFonts w:hint="default" w:ascii="Times New Roman" w:hAnsi="Times New Roman" w:eastAsia="宋体" w:cs="Times New Roman"/>
          <w:kern w:val="0"/>
          <w:szCs w:val="20"/>
          <w:lang w:val="en-US" w:eastAsia="zh-CN"/>
        </w:rPr>
      </w:pPr>
      <w:r>
        <w:rPr>
          <w:rFonts w:hint="eastAsia" w:ascii="黑体" w:hAnsi="黑体" w:eastAsia="黑体" w:cs="黑体"/>
          <w:kern w:val="0"/>
          <w:szCs w:val="20"/>
          <w:lang w:val="en-US" w:eastAsia="zh-CN"/>
        </w:rPr>
        <w:t>表B.1气味物质阈值查询结果</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64"/>
        <w:gridCol w:w="1363"/>
        <w:gridCol w:w="2128"/>
        <w:gridCol w:w="2045"/>
        <w:gridCol w:w="2246"/>
      </w:tblGrid>
      <w:tr w14:paraId="3BDF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dxa"/>
            <w:vAlign w:val="center"/>
          </w:tcPr>
          <w:p w14:paraId="2589BF61">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序号</w:t>
            </w:r>
          </w:p>
        </w:tc>
        <w:tc>
          <w:tcPr>
            <w:tcW w:w="1064" w:type="dxa"/>
            <w:vAlign w:val="center"/>
          </w:tcPr>
          <w:p w14:paraId="55DB690F">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物质</w:t>
            </w:r>
          </w:p>
        </w:tc>
        <w:tc>
          <w:tcPr>
            <w:tcW w:w="1363" w:type="dxa"/>
            <w:vAlign w:val="center"/>
          </w:tcPr>
          <w:p w14:paraId="3E869467">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CAS号</w:t>
            </w:r>
          </w:p>
        </w:tc>
        <w:tc>
          <w:tcPr>
            <w:tcW w:w="2128" w:type="dxa"/>
            <w:vAlign w:val="center"/>
          </w:tcPr>
          <w:p w14:paraId="0401A163">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空气中阈值（</w:t>
            </w:r>
            <w:r>
              <w:rPr>
                <w:rFonts w:hint="default" w:ascii="Times New Roman" w:hAnsi="Times New Roman" w:cs="Times New Roman" w:eastAsiaTheme="minorEastAsia"/>
                <w:kern w:val="0"/>
                <w:szCs w:val="20"/>
                <w:lang w:val="en-US" w:eastAsia="zh-CN"/>
              </w:rPr>
              <w:t>u</w:t>
            </w:r>
            <w:r>
              <w:rPr>
                <w:rFonts w:hint="eastAsia" w:ascii="Times New Roman" w:hAnsi="Times New Roman" w:eastAsia="宋体" w:cs="Times New Roman"/>
                <w:kern w:val="0"/>
                <w:szCs w:val="20"/>
                <w:vertAlign w:val="baseline"/>
                <w:lang w:val="en-US" w:eastAsia="zh-CN"/>
              </w:rPr>
              <w:t>g/m</w:t>
            </w:r>
            <w:r>
              <w:rPr>
                <w:rFonts w:hint="eastAsia" w:ascii="Times New Roman" w:hAnsi="Times New Roman" w:eastAsia="宋体" w:cs="Times New Roman"/>
                <w:kern w:val="0"/>
                <w:szCs w:val="20"/>
                <w:vertAlign w:val="superscript"/>
                <w:lang w:val="en-US" w:eastAsia="zh-CN"/>
              </w:rPr>
              <w:t>3</w:t>
            </w:r>
            <w:r>
              <w:rPr>
                <w:rFonts w:hint="eastAsia" w:ascii="Times New Roman" w:hAnsi="Times New Roman" w:eastAsia="宋体" w:cs="Times New Roman"/>
                <w:kern w:val="0"/>
                <w:szCs w:val="20"/>
                <w:vertAlign w:val="baseline"/>
                <w:lang w:val="en-US" w:eastAsia="zh-CN"/>
              </w:rPr>
              <w:t>）</w:t>
            </w:r>
          </w:p>
        </w:tc>
        <w:tc>
          <w:tcPr>
            <w:tcW w:w="2045" w:type="dxa"/>
            <w:vAlign w:val="center"/>
          </w:tcPr>
          <w:p w14:paraId="0B3C0103">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代表性环境</w:t>
            </w:r>
          </w:p>
        </w:tc>
        <w:tc>
          <w:tcPr>
            <w:tcW w:w="2246" w:type="dxa"/>
            <w:vAlign w:val="center"/>
          </w:tcPr>
          <w:p w14:paraId="13369040">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数据来源</w:t>
            </w:r>
            <w:r>
              <w:rPr>
                <w:rFonts w:hint="eastAsia" w:ascii="Times New Roman" w:hAnsi="Times New Roman" w:eastAsia="宋体" w:cs="Times New Roman"/>
                <w:kern w:val="0"/>
                <w:szCs w:val="20"/>
                <w:vertAlign w:val="superscript"/>
                <w:lang w:val="en-US" w:eastAsia="zh-CN"/>
              </w:rPr>
              <w:t>a</w:t>
            </w:r>
          </w:p>
        </w:tc>
      </w:tr>
      <w:tr w14:paraId="2357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2158A1BA">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1</w:t>
            </w:r>
          </w:p>
        </w:tc>
        <w:tc>
          <w:tcPr>
            <w:tcW w:w="1064" w:type="dxa"/>
            <w:vAlign w:val="center"/>
          </w:tcPr>
          <w:p w14:paraId="11BC788D">
            <w:pPr>
              <w:widowControl/>
              <w:tabs>
                <w:tab w:val="center" w:pos="4201"/>
                <w:tab w:val="right" w:leader="dot" w:pos="9298"/>
              </w:tabs>
              <w:autoSpaceDE w:val="0"/>
              <w:autoSpaceDN w:val="0"/>
              <w:jc w:val="center"/>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lang w:val="en-US" w:eastAsia="zh-CN"/>
              </w:rPr>
              <w:t>氨</w:t>
            </w:r>
          </w:p>
        </w:tc>
        <w:tc>
          <w:tcPr>
            <w:tcW w:w="1363" w:type="dxa"/>
            <w:vAlign w:val="center"/>
          </w:tcPr>
          <w:p w14:paraId="7A382D01">
            <w:pPr>
              <w:widowControl/>
              <w:tabs>
                <w:tab w:val="center" w:pos="4201"/>
                <w:tab w:val="right" w:leader="dot" w:pos="9298"/>
              </w:tabs>
              <w:autoSpaceDE w:val="0"/>
              <w:autoSpaceDN w:val="0"/>
              <w:jc w:val="center"/>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7664-41-7</w:t>
            </w:r>
          </w:p>
        </w:tc>
        <w:tc>
          <w:tcPr>
            <w:tcW w:w="2128" w:type="dxa"/>
            <w:vAlign w:val="center"/>
          </w:tcPr>
          <w:p w14:paraId="76644DEC">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1100</w:t>
            </w:r>
          </w:p>
        </w:tc>
        <w:tc>
          <w:tcPr>
            <w:tcW w:w="2045" w:type="dxa"/>
            <w:vAlign w:val="center"/>
          </w:tcPr>
          <w:p w14:paraId="1C20BB0E">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卫生间</w:t>
            </w:r>
          </w:p>
        </w:tc>
        <w:tc>
          <w:tcPr>
            <w:tcW w:w="2246" w:type="dxa"/>
            <w:vAlign w:val="center"/>
          </w:tcPr>
          <w:p w14:paraId="30C61E58">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Nagata</w:t>
            </w:r>
          </w:p>
        </w:tc>
      </w:tr>
      <w:tr w14:paraId="11AF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34618D5A">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2</w:t>
            </w:r>
          </w:p>
        </w:tc>
        <w:tc>
          <w:tcPr>
            <w:tcW w:w="1064" w:type="dxa"/>
            <w:vAlign w:val="center"/>
          </w:tcPr>
          <w:p w14:paraId="1E89AFC4">
            <w:pPr>
              <w:widowControl/>
              <w:tabs>
                <w:tab w:val="center" w:pos="4201"/>
                <w:tab w:val="right" w:leader="dot" w:pos="9298"/>
              </w:tabs>
              <w:autoSpaceDE w:val="0"/>
              <w:autoSpaceDN w:val="0"/>
              <w:jc w:val="center"/>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lang w:val="en-US" w:eastAsia="zh-CN"/>
              </w:rPr>
              <w:t>2-壬烯醛</w:t>
            </w:r>
          </w:p>
        </w:tc>
        <w:tc>
          <w:tcPr>
            <w:tcW w:w="1363" w:type="dxa"/>
            <w:vAlign w:val="center"/>
          </w:tcPr>
          <w:p w14:paraId="60D1F83A">
            <w:pPr>
              <w:widowControl/>
              <w:tabs>
                <w:tab w:val="center" w:pos="4201"/>
                <w:tab w:val="right" w:leader="dot" w:pos="9298"/>
              </w:tabs>
              <w:autoSpaceDE w:val="0"/>
              <w:autoSpaceDN w:val="0"/>
              <w:jc w:val="center"/>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18829-56-6</w:t>
            </w:r>
          </w:p>
        </w:tc>
        <w:tc>
          <w:tcPr>
            <w:tcW w:w="2128" w:type="dxa"/>
            <w:vAlign w:val="center"/>
          </w:tcPr>
          <w:p w14:paraId="0734FA11">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0.39</w:t>
            </w:r>
          </w:p>
        </w:tc>
        <w:tc>
          <w:tcPr>
            <w:tcW w:w="2045" w:type="dxa"/>
            <w:vAlign w:val="center"/>
          </w:tcPr>
          <w:p w14:paraId="5A54D831">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养老院</w:t>
            </w:r>
          </w:p>
        </w:tc>
        <w:tc>
          <w:tcPr>
            <w:tcW w:w="2246" w:type="dxa"/>
            <w:vAlign w:val="center"/>
          </w:tcPr>
          <w:p w14:paraId="6083BCA2">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L.J.van Genert</w:t>
            </w:r>
          </w:p>
        </w:tc>
      </w:tr>
      <w:tr w14:paraId="70DA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437422BF">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3</w:t>
            </w:r>
          </w:p>
        </w:tc>
        <w:tc>
          <w:tcPr>
            <w:tcW w:w="1064" w:type="dxa"/>
            <w:vAlign w:val="center"/>
          </w:tcPr>
          <w:p w14:paraId="1F308BB1">
            <w:pPr>
              <w:widowControl/>
              <w:tabs>
                <w:tab w:val="center" w:pos="4201"/>
                <w:tab w:val="right" w:leader="dot" w:pos="9298"/>
              </w:tabs>
              <w:autoSpaceDE w:val="0"/>
              <w:autoSpaceDN w:val="0"/>
              <w:jc w:val="center"/>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lang w:val="en-US" w:eastAsia="zh-CN"/>
              </w:rPr>
              <w:t>异戊酸</w:t>
            </w:r>
          </w:p>
        </w:tc>
        <w:tc>
          <w:tcPr>
            <w:tcW w:w="1363" w:type="dxa"/>
            <w:vAlign w:val="center"/>
          </w:tcPr>
          <w:p w14:paraId="73D4F1FA">
            <w:pPr>
              <w:widowControl/>
              <w:tabs>
                <w:tab w:val="center" w:pos="4201"/>
                <w:tab w:val="right" w:leader="dot" w:pos="9298"/>
              </w:tabs>
              <w:autoSpaceDE w:val="0"/>
              <w:autoSpaceDN w:val="0"/>
              <w:jc w:val="center"/>
              <w:rPr>
                <w:rFonts w:hint="eastAsia"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503-74-2</w:t>
            </w:r>
          </w:p>
        </w:tc>
        <w:tc>
          <w:tcPr>
            <w:tcW w:w="2128" w:type="dxa"/>
            <w:vAlign w:val="center"/>
          </w:tcPr>
          <w:p w14:paraId="08B60158">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0.33</w:t>
            </w:r>
          </w:p>
        </w:tc>
        <w:tc>
          <w:tcPr>
            <w:tcW w:w="2045" w:type="dxa"/>
            <w:vAlign w:val="center"/>
          </w:tcPr>
          <w:p w14:paraId="236F4772">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健身房</w:t>
            </w:r>
          </w:p>
        </w:tc>
        <w:tc>
          <w:tcPr>
            <w:tcW w:w="2246" w:type="dxa"/>
            <w:vAlign w:val="center"/>
          </w:tcPr>
          <w:p w14:paraId="0CE516C0">
            <w:pPr>
              <w:widowControl/>
              <w:tabs>
                <w:tab w:val="center" w:pos="4201"/>
                <w:tab w:val="right" w:leader="dot" w:pos="9298"/>
              </w:tabs>
              <w:autoSpaceDE w:val="0"/>
              <w:autoSpaceDN w:val="0"/>
              <w:jc w:val="center"/>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vertAlign w:val="baseline"/>
                <w:lang w:val="en-US" w:eastAsia="zh-CN"/>
              </w:rPr>
              <w:t>Nagata</w:t>
            </w:r>
          </w:p>
        </w:tc>
      </w:tr>
      <w:tr w14:paraId="7A1B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7" w:type="dxa"/>
            <w:gridSpan w:val="6"/>
            <w:vAlign w:val="center"/>
          </w:tcPr>
          <w:p w14:paraId="47917EA2">
            <w:pPr>
              <w:widowControl/>
              <w:tabs>
                <w:tab w:val="center" w:pos="4201"/>
                <w:tab w:val="right" w:leader="dot" w:pos="9298"/>
              </w:tabs>
              <w:autoSpaceDE w:val="0"/>
              <w:autoSpaceDN w:val="0"/>
              <w:jc w:val="both"/>
              <w:rPr>
                <w:rFonts w:hint="default" w:ascii="Times New Roman" w:hAnsi="Times New Roman" w:eastAsia="宋体" w:cs="Times New Roman"/>
                <w:kern w:val="0"/>
                <w:szCs w:val="20"/>
                <w:vertAlign w:val="baseline"/>
                <w:lang w:val="en-US" w:eastAsia="zh-CN"/>
              </w:rPr>
            </w:pPr>
            <w:r>
              <w:rPr>
                <w:rFonts w:hint="eastAsia" w:ascii="Times New Roman" w:hAnsi="Times New Roman" w:eastAsia="宋体" w:cs="Times New Roman"/>
                <w:kern w:val="0"/>
                <w:szCs w:val="20"/>
                <w:lang w:val="en-US" w:eastAsia="zh-CN"/>
              </w:rPr>
              <w:t>注</w:t>
            </w:r>
            <w:r>
              <w:rPr>
                <w:rFonts w:hint="eastAsia" w:ascii="Times New Roman" w:hAnsi="Times New Roman" w:eastAsia="宋体" w:cs="Times New Roman"/>
                <w:kern w:val="0"/>
                <w:szCs w:val="20"/>
                <w:vertAlign w:val="superscript"/>
                <w:lang w:val="en-US" w:eastAsia="zh-CN"/>
              </w:rPr>
              <w:t>a</w:t>
            </w:r>
            <w:r>
              <w:rPr>
                <w:rFonts w:hint="eastAsia" w:ascii="Times New Roman" w:hAnsi="Times New Roman" w:eastAsia="宋体" w:cs="Times New Roman"/>
                <w:kern w:val="0"/>
                <w:szCs w:val="20"/>
                <w:lang w:val="en-US" w:eastAsia="zh-CN"/>
              </w:rPr>
              <w:t>：文献来源见本文件参考文献部分。</w:t>
            </w:r>
          </w:p>
        </w:tc>
      </w:tr>
    </w:tbl>
    <w:p w14:paraId="3C3BDB2A">
      <w:pPr>
        <w:widowControl/>
        <w:tabs>
          <w:tab w:val="center" w:pos="4201"/>
          <w:tab w:val="right" w:leader="dot" w:pos="9298"/>
        </w:tabs>
        <w:autoSpaceDE w:val="0"/>
        <w:autoSpaceDN w:val="0"/>
        <w:rPr>
          <w:rFonts w:hint="eastAsia" w:ascii="黑体" w:hAnsi="黑体" w:eastAsia="黑体" w:cs="黑体"/>
          <w:kern w:val="0"/>
          <w:szCs w:val="20"/>
          <w:lang w:val="en-US" w:eastAsia="zh-CN"/>
        </w:rPr>
      </w:pPr>
      <w:r>
        <w:rPr>
          <w:rFonts w:hint="eastAsia" w:ascii="Times New Roman" w:hAnsi="Times New Roman" w:eastAsia="宋体" w:cs="Times New Roman"/>
          <w:kern w:val="0"/>
          <w:szCs w:val="20"/>
          <w:lang w:val="en-US" w:eastAsia="zh-CN"/>
        </w:rPr>
        <w:t>B.3.2 根据表B.1和公式（B.2）可以计算活得模拟气味溶液的配制浓度和向环境舱中的投加量，结果见表B.2。</w:t>
      </w:r>
    </w:p>
    <w:p w14:paraId="0FAAC466">
      <w:pPr>
        <w:widowControl/>
        <w:tabs>
          <w:tab w:val="center" w:pos="4201"/>
          <w:tab w:val="right" w:leader="dot" w:pos="9298"/>
        </w:tabs>
        <w:autoSpaceDE w:val="0"/>
        <w:autoSpaceDN w:val="0"/>
        <w:spacing w:line="360" w:lineRule="auto"/>
        <w:jc w:val="center"/>
        <w:rPr>
          <w:rFonts w:hint="default" w:ascii="黑体" w:hAnsi="黑体" w:eastAsia="黑体" w:cs="黑体"/>
          <w:kern w:val="0"/>
          <w:szCs w:val="20"/>
          <w:lang w:val="en-US" w:eastAsia="zh-CN"/>
        </w:rPr>
      </w:pPr>
      <w:r>
        <w:rPr>
          <w:rFonts w:hint="eastAsia" w:ascii="黑体" w:hAnsi="黑体" w:eastAsia="黑体" w:cs="黑体"/>
          <w:kern w:val="0"/>
          <w:szCs w:val="20"/>
          <w:lang w:val="en-US" w:eastAsia="zh-CN"/>
        </w:rPr>
        <w:t>表B.1典型气味模拟溶液</w:t>
      </w:r>
    </w:p>
    <w:tbl>
      <w:tblPr>
        <w:tblStyle w:val="14"/>
        <w:tblW w:w="9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192"/>
        <w:gridCol w:w="1998"/>
        <w:gridCol w:w="2173"/>
        <w:gridCol w:w="1746"/>
        <w:gridCol w:w="1802"/>
      </w:tblGrid>
      <w:tr w14:paraId="60BE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05" w:type="dxa"/>
            <w:vAlign w:val="center"/>
          </w:tcPr>
          <w:p w14:paraId="3A1775A3">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序号</w:t>
            </w:r>
          </w:p>
        </w:tc>
        <w:tc>
          <w:tcPr>
            <w:tcW w:w="1192" w:type="dxa"/>
            <w:vAlign w:val="center"/>
          </w:tcPr>
          <w:p w14:paraId="316AB159">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化学物质</w:t>
            </w:r>
          </w:p>
        </w:tc>
        <w:tc>
          <w:tcPr>
            <w:tcW w:w="1998" w:type="dxa"/>
            <w:vAlign w:val="center"/>
          </w:tcPr>
          <w:p w14:paraId="06ADFE96">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储备液（w/w）</w:t>
            </w:r>
          </w:p>
        </w:tc>
        <w:tc>
          <w:tcPr>
            <w:tcW w:w="2173" w:type="dxa"/>
            <w:vAlign w:val="center"/>
          </w:tcPr>
          <w:p w14:paraId="34C73BA8">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密度（</w:t>
            </w:r>
            <w:r>
              <w:rPr>
                <w:rFonts w:hint="default" w:ascii="Times New Roman" w:hAnsi="Times New Roman" w:eastAsia="宋体" w:cs="Times New Roman"/>
                <w:kern w:val="0"/>
                <w:szCs w:val="20"/>
                <w:lang w:val="en-US" w:eastAsia="zh-CN"/>
              </w:rPr>
              <w:t>g·mL</w:t>
            </w:r>
            <w:r>
              <w:rPr>
                <w:rFonts w:hint="default" w:ascii="Times New Roman" w:hAnsi="Times New Roman" w:eastAsia="宋体" w:cs="Times New Roman"/>
                <w:kern w:val="0"/>
                <w:szCs w:val="20"/>
                <w:vertAlign w:val="superscript"/>
                <w:lang w:val="en-US" w:eastAsia="zh-CN"/>
              </w:rPr>
              <w:t>-1</w:t>
            </w:r>
            <w:r>
              <w:rPr>
                <w:rFonts w:hint="eastAsia" w:ascii="Times New Roman" w:hAnsi="Times New Roman" w:eastAsia="宋体" w:cs="Times New Roman"/>
                <w:kern w:val="0"/>
                <w:szCs w:val="20"/>
                <w:lang w:val="en-US" w:eastAsia="zh-CN"/>
              </w:rPr>
              <w:t>）</w:t>
            </w:r>
          </w:p>
        </w:tc>
        <w:tc>
          <w:tcPr>
            <w:tcW w:w="1746" w:type="dxa"/>
            <w:vAlign w:val="center"/>
          </w:tcPr>
          <w:p w14:paraId="293BCFA5">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稀释倍数</w:t>
            </w:r>
          </w:p>
        </w:tc>
        <w:tc>
          <w:tcPr>
            <w:tcW w:w="1802" w:type="dxa"/>
            <w:vAlign w:val="center"/>
          </w:tcPr>
          <w:p w14:paraId="4358222A">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m:oMathPara>
              <m:oMath>
                <m:sSub>
                  <m:sSubPr>
                    <m:ctrlPr>
                      <w:rPr>
                        <w:rFonts w:hint="default" w:ascii="Cambria Math" w:hAnsi="Cambria Math" w:eastAsia="宋体" w:cs="Times New Roman"/>
                        <w:b w:val="0"/>
                        <w:i w:val="0"/>
                        <w:kern w:val="0"/>
                        <w:sz w:val="21"/>
                        <w:szCs w:val="20"/>
                        <w:vertAlign w:val="baseline"/>
                        <w:lang w:val="en-US" w:eastAsia="zh-CN" w:bidi="ar-SA"/>
                      </w:rPr>
                    </m:ctrlPr>
                  </m:sSubPr>
                  <m:e>
                    <m:r>
                      <m:rPr>
                        <m:sty m:val="p"/>
                      </m:rPr>
                      <w:rPr>
                        <w:rFonts w:hint="default" w:ascii="Cambria Math" w:hAnsi="Cambria Math" w:eastAsia="宋体" w:cs="Times New Roman"/>
                        <w:kern w:val="0"/>
                        <w:sz w:val="21"/>
                        <w:szCs w:val="20"/>
                        <w:vertAlign w:val="baseline"/>
                        <w:lang w:val="en-US" w:eastAsia="zh-CN" w:bidi="ar-SA"/>
                      </w:rPr>
                      <m:t>V</m:t>
                    </m:r>
                    <m:ctrlPr>
                      <w:rPr>
                        <w:rFonts w:hint="default" w:ascii="Cambria Math" w:hAnsi="Cambria Math" w:eastAsia="宋体" w:cs="Times New Roman"/>
                        <w:b w:val="0"/>
                        <w:i w:val="0"/>
                        <w:kern w:val="0"/>
                        <w:sz w:val="21"/>
                        <w:szCs w:val="20"/>
                        <w:vertAlign w:val="baseline"/>
                        <w:lang w:val="en-US" w:eastAsia="zh-CN" w:bidi="ar-SA"/>
                      </w:rPr>
                    </m:ctrlPr>
                  </m:e>
                  <m:sub>
                    <m:r>
                      <m:rPr>
                        <m:nor/>
                        <m:sty m:val="p"/>
                      </m:rPr>
                      <w:rPr>
                        <w:rFonts w:hint="default" w:ascii="Times New Roman" w:hAnsi="Times New Roman" w:cs="Times New Roman"/>
                        <w:b w:val="0"/>
                        <w:i w:val="0"/>
                        <w:kern w:val="0"/>
                        <w:sz w:val="21"/>
                        <w:szCs w:val="20"/>
                        <w:vertAlign w:val="baseline"/>
                        <w:lang w:val="en-US" w:eastAsia="zh-CN" w:bidi="ar-SA"/>
                      </w:rPr>
                      <m:t>add</m:t>
                    </m:r>
                    <m:ctrlPr>
                      <w:rPr>
                        <w:rFonts w:hint="default" w:ascii="Cambria Math" w:hAnsi="Cambria Math" w:eastAsia="宋体" w:cs="Times New Roman"/>
                        <w:b w:val="0"/>
                        <w:i w:val="0"/>
                        <w:kern w:val="0"/>
                        <w:sz w:val="21"/>
                        <w:szCs w:val="20"/>
                        <w:vertAlign w:val="baseline"/>
                        <w:lang w:val="en-US" w:eastAsia="zh-CN" w:bidi="ar-SA"/>
                      </w:rPr>
                    </m:ctrlPr>
                  </m:sub>
                </m:sSub>
                <m:r>
                  <m:rPr>
                    <m:sty m:val="p"/>
                  </m:rPr>
                  <w:rPr>
                    <w:rFonts w:hint="default" w:ascii="Cambria Math" w:hAnsi="Cambria Math" w:eastAsia="宋体" w:cs="Times New Roman"/>
                    <w:kern w:val="0"/>
                    <w:sz w:val="21"/>
                    <w:szCs w:val="20"/>
                    <w:vertAlign w:val="baseline"/>
                    <w:lang w:val="en-US" w:eastAsia="zh-CN" w:bidi="ar-SA"/>
                  </w:rPr>
                  <m:t>(</m:t>
                </m:r>
                <m:r>
                  <m:rPr>
                    <m:sty m:val="p"/>
                  </m:rPr>
                  <w:rPr>
                    <w:rFonts w:hint="eastAsia" w:ascii="Cambria Math" w:hAnsi="Cambria Math" w:eastAsia="宋体" w:cs="Times New Roman"/>
                    <w:kern w:val="0"/>
                    <w:sz w:val="21"/>
                    <w:szCs w:val="20"/>
                    <w:vertAlign w:val="baseline"/>
                    <w:lang w:val="en-US" w:eastAsia="zh-CN" w:bidi="ar-SA"/>
                  </w:rPr>
                  <m:t>uL</m:t>
                </m:r>
                <m:r>
                  <m:rPr>
                    <m:sty m:val="p"/>
                  </m:rPr>
                  <w:rPr>
                    <w:rFonts w:hint="default" w:ascii="Cambria Math" w:hAnsi="Cambria Math" w:eastAsia="宋体" w:cs="Times New Roman"/>
                    <w:kern w:val="0"/>
                    <w:sz w:val="21"/>
                    <w:szCs w:val="20"/>
                    <w:vertAlign w:val="baseline"/>
                    <w:lang w:val="en-US" w:eastAsia="zh-CN" w:bidi="ar-SA"/>
                  </w:rPr>
                  <m:t>)</m:t>
                </m:r>
              </m:oMath>
            </m:oMathPara>
          </w:p>
        </w:tc>
      </w:tr>
      <w:tr w14:paraId="555D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705" w:type="dxa"/>
            <w:vAlign w:val="center"/>
          </w:tcPr>
          <w:p w14:paraId="6EE2831E">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1</w:t>
            </w:r>
          </w:p>
        </w:tc>
        <w:tc>
          <w:tcPr>
            <w:tcW w:w="1192" w:type="dxa"/>
            <w:vAlign w:val="center"/>
          </w:tcPr>
          <w:p w14:paraId="773DB93E">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氨</w:t>
            </w:r>
          </w:p>
        </w:tc>
        <w:tc>
          <w:tcPr>
            <w:tcW w:w="1998" w:type="dxa"/>
            <w:vAlign w:val="center"/>
          </w:tcPr>
          <w:p w14:paraId="003D4DEF">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25%</w:t>
            </w:r>
            <w:r>
              <w:rPr>
                <w:rFonts w:hint="default" w:ascii="Times New Roman" w:hAnsi="Times New Roman" w:eastAsia="宋体" w:cs="Times New Roman"/>
                <w:kern w:val="0"/>
                <w:szCs w:val="20"/>
                <w:lang w:val="en-US" w:eastAsia="zh-CN"/>
              </w:rPr>
              <w:t>氨</w:t>
            </w:r>
            <w:r>
              <w:rPr>
                <w:rFonts w:hint="eastAsia" w:ascii="Times New Roman" w:hAnsi="Times New Roman" w:eastAsia="宋体" w:cs="Times New Roman"/>
                <w:kern w:val="0"/>
                <w:szCs w:val="20"/>
                <w:lang w:val="en-US" w:eastAsia="zh-CN"/>
              </w:rPr>
              <w:t>水溶液</w:t>
            </w:r>
          </w:p>
        </w:tc>
        <w:tc>
          <w:tcPr>
            <w:tcW w:w="2173" w:type="dxa"/>
            <w:vAlign w:val="center"/>
          </w:tcPr>
          <w:p w14:paraId="4CA3E1AD">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default" w:ascii="Times New Roman" w:hAnsi="Times New Roman" w:eastAsia="宋体" w:cs="Times New Roman"/>
                <w:kern w:val="0"/>
                <w:szCs w:val="20"/>
                <w:lang w:val="en-US" w:eastAsia="zh-CN"/>
              </w:rPr>
              <w:t>0.9</w:t>
            </w:r>
            <w:r>
              <w:rPr>
                <w:rFonts w:hint="eastAsia" w:ascii="Times New Roman" w:hAnsi="Times New Roman" w:eastAsia="宋体" w:cs="Times New Roman"/>
                <w:kern w:val="0"/>
                <w:szCs w:val="20"/>
                <w:lang w:val="en-US" w:eastAsia="zh-CN"/>
              </w:rPr>
              <w:t>0</w:t>
            </w:r>
          </w:p>
        </w:tc>
        <w:tc>
          <w:tcPr>
            <w:tcW w:w="1746" w:type="dxa"/>
            <w:vAlign w:val="center"/>
          </w:tcPr>
          <w:p w14:paraId="79065BBF">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不稀释</w:t>
            </w:r>
          </w:p>
        </w:tc>
        <w:tc>
          <w:tcPr>
            <w:tcW w:w="1802" w:type="dxa"/>
            <w:vAlign w:val="center"/>
          </w:tcPr>
          <w:p w14:paraId="1C8EA58B">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4.9</w:t>
            </w:r>
          </w:p>
        </w:tc>
      </w:tr>
      <w:tr w14:paraId="48D6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05" w:type="dxa"/>
            <w:vAlign w:val="center"/>
          </w:tcPr>
          <w:p w14:paraId="7382BC96">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2</w:t>
            </w:r>
          </w:p>
        </w:tc>
        <w:tc>
          <w:tcPr>
            <w:tcW w:w="1192" w:type="dxa"/>
            <w:vAlign w:val="center"/>
          </w:tcPr>
          <w:p w14:paraId="5EE90D91">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2-壬烯醛</w:t>
            </w:r>
          </w:p>
        </w:tc>
        <w:tc>
          <w:tcPr>
            <w:tcW w:w="1998" w:type="dxa"/>
            <w:vAlign w:val="center"/>
          </w:tcPr>
          <w:p w14:paraId="6122F27F">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4.6%液体石蜡溶液</w:t>
            </w:r>
          </w:p>
        </w:tc>
        <w:tc>
          <w:tcPr>
            <w:tcW w:w="2173" w:type="dxa"/>
            <w:vAlign w:val="center"/>
          </w:tcPr>
          <w:p w14:paraId="058252E5">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0.85</w:t>
            </w:r>
            <w:r>
              <w:rPr>
                <w:rFonts w:hint="eastAsia" w:ascii="Times New Roman" w:hAnsi="Times New Roman" w:eastAsia="宋体" w:cs="Times New Roman"/>
                <w:kern w:val="0"/>
                <w:szCs w:val="20"/>
                <w:vertAlign w:val="superscript"/>
                <w:lang w:val="en-US" w:eastAsia="zh-CN"/>
              </w:rPr>
              <w:t>a</w:t>
            </w:r>
          </w:p>
        </w:tc>
        <w:tc>
          <w:tcPr>
            <w:tcW w:w="1746" w:type="dxa"/>
            <w:vAlign w:val="center"/>
          </w:tcPr>
          <w:p w14:paraId="0CBA3A4B">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100倍</w:t>
            </w:r>
          </w:p>
        </w:tc>
        <w:tc>
          <w:tcPr>
            <w:tcW w:w="1802" w:type="dxa"/>
            <w:vAlign w:val="center"/>
          </w:tcPr>
          <w:p w14:paraId="53DA4ADE">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1.0</w:t>
            </w:r>
          </w:p>
        </w:tc>
      </w:tr>
      <w:tr w14:paraId="65A6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05" w:type="dxa"/>
            <w:vAlign w:val="center"/>
          </w:tcPr>
          <w:p w14:paraId="2381C089">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3</w:t>
            </w:r>
          </w:p>
        </w:tc>
        <w:tc>
          <w:tcPr>
            <w:tcW w:w="1192" w:type="dxa"/>
            <w:vAlign w:val="center"/>
          </w:tcPr>
          <w:p w14:paraId="2D7D90D6">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异戊酸</w:t>
            </w:r>
          </w:p>
        </w:tc>
        <w:tc>
          <w:tcPr>
            <w:tcW w:w="1998" w:type="dxa"/>
            <w:vAlign w:val="center"/>
          </w:tcPr>
          <w:p w14:paraId="091514D0">
            <w:pPr>
              <w:widowControl/>
              <w:tabs>
                <w:tab w:val="center" w:pos="4201"/>
                <w:tab w:val="right" w:leader="dot" w:pos="9298"/>
              </w:tabs>
              <w:autoSpaceDE w:val="0"/>
              <w:autoSpaceDN w:val="0"/>
              <w:jc w:val="center"/>
              <w:rPr>
                <w:rFonts w:hint="eastAsia"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3.2%丙二醇溶液</w:t>
            </w:r>
          </w:p>
        </w:tc>
        <w:tc>
          <w:tcPr>
            <w:tcW w:w="2173" w:type="dxa"/>
            <w:vAlign w:val="center"/>
          </w:tcPr>
          <w:p w14:paraId="660C5861">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1.04</w:t>
            </w:r>
            <w:r>
              <w:rPr>
                <w:rFonts w:hint="eastAsia" w:ascii="Times New Roman" w:hAnsi="Times New Roman" w:eastAsia="宋体" w:cs="Times New Roman"/>
                <w:kern w:val="0"/>
                <w:szCs w:val="20"/>
                <w:vertAlign w:val="superscript"/>
                <w:lang w:val="en-US" w:eastAsia="zh-CN"/>
              </w:rPr>
              <w:t>a</w:t>
            </w:r>
          </w:p>
        </w:tc>
        <w:tc>
          <w:tcPr>
            <w:tcW w:w="1746" w:type="dxa"/>
            <w:vAlign w:val="center"/>
          </w:tcPr>
          <w:p w14:paraId="3B8274DA">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100倍</w:t>
            </w:r>
          </w:p>
        </w:tc>
        <w:tc>
          <w:tcPr>
            <w:tcW w:w="1802" w:type="dxa"/>
            <w:vAlign w:val="center"/>
          </w:tcPr>
          <w:p w14:paraId="224C619A">
            <w:pPr>
              <w:widowControl/>
              <w:tabs>
                <w:tab w:val="center" w:pos="4201"/>
                <w:tab w:val="right" w:leader="dot" w:pos="9298"/>
              </w:tabs>
              <w:autoSpaceDE w:val="0"/>
              <w:autoSpaceDN w:val="0"/>
              <w:jc w:val="center"/>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1.0</w:t>
            </w:r>
          </w:p>
        </w:tc>
      </w:tr>
      <w:tr w14:paraId="5174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616" w:type="dxa"/>
            <w:gridSpan w:val="6"/>
            <w:vAlign w:val="center"/>
          </w:tcPr>
          <w:p w14:paraId="786324FD">
            <w:pPr>
              <w:widowControl/>
              <w:tabs>
                <w:tab w:val="center" w:pos="4201"/>
                <w:tab w:val="right" w:leader="dot" w:pos="9298"/>
              </w:tabs>
              <w:autoSpaceDE w:val="0"/>
              <w:autoSpaceDN w:val="0"/>
              <w:jc w:val="left"/>
              <w:rPr>
                <w:rFonts w:hint="default" w:ascii="Times New Roman" w:hAnsi="Times New Roman" w:eastAsia="宋体" w:cs="Times New Roman"/>
                <w:kern w:val="0"/>
                <w:szCs w:val="20"/>
                <w:lang w:val="en-US" w:eastAsia="zh-CN"/>
              </w:rPr>
            </w:pPr>
            <w:r>
              <w:rPr>
                <w:rFonts w:hint="eastAsia" w:ascii="Times New Roman" w:hAnsi="Times New Roman" w:eastAsia="宋体" w:cs="Times New Roman"/>
                <w:kern w:val="0"/>
                <w:szCs w:val="20"/>
                <w:lang w:val="en-US" w:eastAsia="zh-CN"/>
              </w:rPr>
              <w:t>注</w:t>
            </w:r>
            <w:r>
              <w:rPr>
                <w:rFonts w:hint="eastAsia" w:ascii="Times New Roman" w:hAnsi="Times New Roman" w:eastAsia="宋体" w:cs="Times New Roman"/>
                <w:kern w:val="0"/>
                <w:szCs w:val="20"/>
                <w:vertAlign w:val="superscript"/>
                <w:lang w:val="en-US" w:eastAsia="zh-CN"/>
              </w:rPr>
              <w:t>a</w:t>
            </w:r>
            <w:r>
              <w:rPr>
                <w:rFonts w:hint="eastAsia" w:ascii="Times New Roman" w:hAnsi="Times New Roman" w:eastAsia="宋体" w:cs="Times New Roman"/>
                <w:kern w:val="0"/>
                <w:szCs w:val="20"/>
                <w:lang w:val="en-US" w:eastAsia="zh-CN"/>
              </w:rPr>
              <w:t>：由于质量分数较低，可按溶剂密度进行计算。</w:t>
            </w:r>
          </w:p>
        </w:tc>
      </w:tr>
    </w:tbl>
    <w:p w14:paraId="415D0816">
      <w:pPr>
        <w:widowControl/>
        <w:tabs>
          <w:tab w:val="center" w:pos="4201"/>
          <w:tab w:val="right" w:leader="dot" w:pos="9298"/>
        </w:tabs>
        <w:autoSpaceDE w:val="0"/>
        <w:autoSpaceDN w:val="0"/>
        <w:spacing w:line="360" w:lineRule="auto"/>
        <w:rPr>
          <w:rFonts w:hint="eastAsia" w:ascii="黑体" w:hAnsi="黑体" w:eastAsia="黑体" w:cstheme="minorEastAsia"/>
        </w:rPr>
      </w:pPr>
    </w:p>
    <w:p w14:paraId="26F3984D">
      <w:pPr>
        <w:jc w:val="left"/>
        <w:rPr>
          <w:szCs w:val="21"/>
          <w:shd w:val="clear" w:color="auto" w:fill="FFFFFF"/>
        </w:rPr>
        <w:sectPr>
          <w:headerReference r:id="rId9" w:type="default"/>
          <w:footerReference r:id="rId11" w:type="default"/>
          <w:headerReference r:id="rId10" w:type="even"/>
          <w:footerReference r:id="rId12" w:type="even"/>
          <w:pgSz w:w="11906" w:h="16838"/>
          <w:pgMar w:top="1701" w:right="1134" w:bottom="1134" w:left="1418" w:header="1418" w:footer="1134" w:gutter="0"/>
          <w:pgNumType w:start="1"/>
          <w:cols w:space="425" w:num="1"/>
          <w:docGrid w:type="lines" w:linePitch="312" w:charSpace="0"/>
        </w:sectPr>
      </w:pPr>
    </w:p>
    <w:p w14:paraId="73597081">
      <w:pPr>
        <w:pStyle w:val="74"/>
        <w:spacing w:after="156"/>
      </w:pPr>
      <w:bookmarkStart w:id="39" w:name="_Toc119316735"/>
      <w:r>
        <w:rPr>
          <w:rFonts w:hint="eastAsia"/>
          <w:spacing w:val="105"/>
        </w:rPr>
        <w:t>参考文</w:t>
      </w:r>
      <w:r>
        <w:rPr>
          <w:rFonts w:hint="eastAsia"/>
        </w:rPr>
        <w:t>献</w:t>
      </w:r>
      <w:bookmarkEnd w:id="39"/>
      <w:bookmarkStart w:id="40" w:name="_GoBack"/>
      <w:bookmarkEnd w:id="40"/>
    </w:p>
    <w:p w14:paraId="7ED276FE">
      <w:pPr>
        <w:snapToGrid w:val="0"/>
        <w:spacing w:line="360" w:lineRule="auto"/>
        <w:rPr>
          <w:rFonts w:ascii="Times New Roman" w:hAnsi="Times New Roman"/>
          <w:color w:val="000000" w:themeColor="text1"/>
          <w:szCs w:val="24"/>
          <w14:textFill>
            <w14:solidFill>
              <w14:schemeClr w14:val="tx1"/>
            </w14:solidFill>
          </w14:textFill>
        </w:rPr>
      </w:pPr>
      <w:r>
        <w:rPr>
          <w:rFonts w:ascii="Times New Roman" w:hAnsi="Times New Roman"/>
          <w:color w:val="000000" w:themeColor="text1"/>
          <w:szCs w:val="24"/>
          <w14:textFill>
            <w14:solidFill>
              <w14:schemeClr w14:val="tx1"/>
            </w14:solidFill>
          </w14:textFill>
        </w:rPr>
        <w:t xml:space="preserve">[1] </w:t>
      </w:r>
      <w:r>
        <w:rPr>
          <w:rFonts w:hint="eastAsia" w:ascii="Times New Roman" w:hAnsi="Times New Roman"/>
          <w:color w:val="000000" w:themeColor="text1"/>
          <w:szCs w:val="24"/>
          <w14:textFill>
            <w14:solidFill>
              <w14:schemeClr w14:val="tx1"/>
            </w14:solidFill>
          </w14:textFill>
        </w:rPr>
        <w:t>Gemert L J V. Odour Thresholds: Compilations of Odour Threshold Values in Air[J]. Water and other media, 2011.</w:t>
      </w:r>
    </w:p>
    <w:p w14:paraId="6B2BE5C8">
      <w:pPr>
        <w:snapToGrid w:val="0"/>
        <w:spacing w:line="360" w:lineRule="auto"/>
        <w:rPr>
          <w:rFonts w:ascii="Times New Roman" w:hAnsi="Times New Roman"/>
          <w:color w:val="000000" w:themeColor="text1"/>
          <w:szCs w:val="24"/>
          <w14:textFill>
            <w14:solidFill>
              <w14:schemeClr w14:val="tx1"/>
            </w14:solidFill>
          </w14:textFill>
        </w:rPr>
      </w:pPr>
      <w:r>
        <w:rPr>
          <w:rFonts w:ascii="Times New Roman" w:hAnsi="Times New Roman"/>
          <w:color w:val="000000" w:themeColor="text1"/>
          <w:szCs w:val="24"/>
          <w14:textFill>
            <w14:solidFill>
              <w14:schemeClr w14:val="tx1"/>
            </w14:solidFill>
          </w14:textFill>
        </w:rPr>
        <w:t xml:space="preserve">[2] </w:t>
      </w:r>
      <w:r>
        <w:rPr>
          <w:rFonts w:hint="eastAsia" w:ascii="Times New Roman" w:hAnsi="Times New Roman"/>
          <w:color w:val="000000" w:themeColor="text1"/>
          <w:szCs w:val="24"/>
          <w14:textFill>
            <w14:solidFill>
              <w14:schemeClr w14:val="tx1"/>
            </w14:solidFill>
          </w14:textFill>
        </w:rPr>
        <w:t>Nagata Y, Takeuchi N. Measurement of odor threshold by triangle odor bag method[J]. Odor measurement review, 2003, 118: 118-127.</w:t>
      </w:r>
    </w:p>
    <w:p w14:paraId="0EC8C81D">
      <w:pPr>
        <w:jc w:val="left"/>
        <w:rPr>
          <w:rFonts w:hint="default" w:eastAsiaTheme="minorEastAsia"/>
          <w:szCs w:val="21"/>
          <w:shd w:val="clear" w:color="auto" w:fill="FFFFFF"/>
          <w:lang w:val="en-US" w:eastAsia="zh-CN"/>
        </w:rPr>
      </w:pPr>
    </w:p>
    <w:sectPr>
      <w:pgSz w:w="11906" w:h="16838"/>
      <w:pgMar w:top="1701" w:right="1134" w:bottom="1134" w:left="1418" w:header="1418" w:footer="1134"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D96EC">
    <w:pPr>
      <w:pStyle w:val="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38100" cy="13144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38100" cy="131445"/>
                      </a:xfrm>
                      <a:prstGeom prst="rect">
                        <a:avLst/>
                      </a:prstGeom>
                      <a:noFill/>
                      <a:ln w="6350">
                        <a:noFill/>
                      </a:ln>
                    </wps:spPr>
                    <wps:txbx>
                      <w:txbxContent>
                        <w:p w14:paraId="6108E21A">
                          <w:pPr>
                            <w:pStyle w:val="7"/>
                            <w:rPr>
                              <w:rFonts w:eastAsiaTheme="minorEastAsia"/>
                            </w:rPr>
                          </w:pPr>
                          <w:r>
                            <w:rPr>
                              <w:rFonts w:eastAsiaTheme="minorEastAsia"/>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3pt;mso-position-horizontal:right;mso-position-horizontal-relative:margin;mso-wrap-style:none;z-index:251659264;mso-width-relative:page;mso-height-relative:page;" filled="f" stroked="f" coordsize="21600,21600" o:gfxdata="UEsDBAoAAAAAAIdO4kAAAAAAAAAAAAAAAAAEAAAAZHJzL1BLAwQUAAAACACHTuJAEbwqP9AAAAAC&#10;AQAADwAAAGRycy9kb3ducmV2LnhtbE2PwU7DMBBE70j8g7VI3KjdggoKcSpREY5INBw4uvE2SbHX&#10;ke2m4e9ZuMBlpNGsZt6Wm9k7MWFMQyANy4UCgdQGO1Cn4b2pbx5ApGzIGhcINXxhgk11eVGawoYz&#10;veG0y53gEkqF0dDnPBZSprZHb9IijEicHUL0JrONnbTRnLncO7lSai29GYgXejPitsf2c3fyGrZ1&#10;08QJU3Qf+FLfHl+f7vB51vr6aqkeQWSc898x/OAzOlTMtA8nskk4DfxI/lXO1mz2GlbqHmRVyv/o&#10;1TdQSwMEFAAAAAgAh07iQKWoMV0vAgAAVAQAAA4AAABkcnMvZTJvRG9jLnhtbK1US27bMBDdF+gd&#10;CO5rybETBIblwI3hooDRBHCLrmmKsgTwB5K25B6gvUFX3XTfc/kcfdTHKdIusuiGHs0M3/C9mfH8&#10;rlGSHIXzldEZHY9SSoTmJq/0PqOfPq7f3FLiA9M5k0aLjJ6Ep3eL16/mtZ2JK1MamQtHAKL9rLYZ&#10;LUOwsyTxvBSK+ZGxQiNYGKdYwKfbJ7ljNdCVTK7S9CapjcutM1x4D++qC9Ie0b0E0BRFxcXK8IMS&#10;OnSoTkgWQMmXlfV00b62KAQPD0XhRSAyo2Aa2hNFYO/imSzmbLZ3zJYV75/AXvKEZ5wUqzSKXqBW&#10;LDBycNVfUKriznhThBE3KumItIqAxTh9ps22ZFa0XCC1txfR/f+D5R+Oj45UOSZhSolmCh0/f/92&#10;/vHr/PMrgQ8C1dbPkLe1yAzNW9MgefB7OCPvpnAq/oIRQRzyni7yiiYQDufkdpwiwBEZT8bT6XUE&#10;SZ7uWufDO2EUiUZGHZrXasqOGx+61CElltJmXUnZNlBqUmf0ZnKdthcuEYBLjRqRQffSaIVm1/S0&#10;diY/gZUz3WB4y9cVim+YD4/MYRLwXuxKeMBRSIMiprcoKY378i9/zEeDEKWkxmRlVGORKJHvNRoH&#10;wDAYbjB2g6EP6t5gVMfYQctbExdckINZOKM+Y4GWsQZCTHNUymgYzPvQTTcWkIvlsk3CqFkWNnpr&#10;eYSO4nm7PAQI2OoaRemU6LXCsLWd6RcjTvOf323W05/B4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RvCo/0AAAAAIBAAAPAAAAAAAAAAEAIAAAACIAAABkcnMvZG93bnJldi54bWxQSwECFAAUAAAA&#10;CACHTuJApagxXS8CAABUBAAADgAAAAAAAAABACAAAAAfAQAAZHJzL2Uyb0RvYy54bWxQSwUGAAAA&#10;AAYABgBZAQAAwAUAAAAA&#10;">
              <v:fill on="f" focussize="0,0"/>
              <v:stroke on="f" weight="0.5pt"/>
              <v:imagedata o:title=""/>
              <o:lock v:ext="edit" aspectratio="f"/>
              <v:textbox inset="0mm,0mm,0mm,0mm" style="mso-fit-shape-to-text:t;">
                <w:txbxContent>
                  <w:p w14:paraId="6108E21A">
                    <w:pPr>
                      <w:pStyle w:val="7"/>
                      <w:rPr>
                        <w:rFonts w:eastAsiaTheme="minorEastAsia"/>
                      </w:rPr>
                    </w:pPr>
                    <w:r>
                      <w:rPr>
                        <w:rFonts w:eastAsiaTheme="minorEastAsia"/>
                      </w:rPr>
                      <w:t>I</w:t>
                    </w:r>
                  </w:p>
                </w:txbxContent>
              </v:textbox>
            </v:shape>
          </w:pict>
        </mc:Fallback>
      </mc:AlternateContent>
    </w:r>
  </w:p>
  <w:p w14:paraId="26139D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14ADA">
    <w:pPr>
      <w:pStyle w:val="7"/>
      <w:jc w:val="right"/>
    </w:pPr>
    <w:r>
      <w:rPr>
        <w:rFonts w:hint="eastAsia"/>
      </w:rPr>
      <w:t>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F00BD">
    <w:pPr>
      <w:pStyle w:val="7"/>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76200" cy="1314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76200" cy="131445"/>
                      </a:xfrm>
                      <a:prstGeom prst="rect">
                        <a:avLst/>
                      </a:prstGeom>
                      <a:noFill/>
                      <a:ln w="6350">
                        <a:noFill/>
                      </a:ln>
                    </wps:spPr>
                    <wps:txbx>
                      <w:txbxContent>
                        <w:p w14:paraId="4954D773">
                          <w:pPr>
                            <w:pStyle w:val="7"/>
                            <w:rPr>
                              <w:rFonts w:eastAsiaTheme="minorEastAsia"/>
                            </w:rPr>
                          </w:pPr>
                          <w:r>
                            <w:rPr>
                              <w:rFonts w:hint="eastAsia" w:eastAsiaTheme="minorEastAsia"/>
                            </w:rPr>
                            <w:t>I</w:t>
                          </w:r>
                          <w:r>
                            <w:rPr>
                              <w:rFonts w:eastAsiaTheme="minorEastAsia"/>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6pt;mso-position-horizontal:right;mso-position-horizontal-relative:margin;mso-wrap-style:none;z-index:251661312;mso-width-relative:page;mso-height-relative:page;" filled="f" stroked="f" coordsize="21600,21600" o:gfxdata="UEsDBAoAAAAAAIdO4kAAAAAAAAAAAAAAAAAEAAAAZHJzL1BLAwQUAAAACACHTuJANtUpFdAAAAAD&#10;AQAADwAAAGRycy9kb3ducmV2LnhtbE2PwU7DMBBE70j8g7VI3KjdgACFOJWoCEckGg4c3XhJAvY6&#10;st00/D1bLnAZaTSrmbfVZvFOzBjTGEjDeqVAIHXBjtRreGubq3sQKRuyxgVCDd+YYFOfn1WmtOFI&#10;rzjvci+4hFJpNAw5T6WUqRvQm7QKExJnHyF6k9nGXtpojlzunSyUupXejMQLg5lwO2D3tTt4Ddum&#10;beOMKbp3fG6uP18eb/Bp0fryYq0eQGRc8t8xnPAZHWpm2ocD2SScBn4k/+opK9jtNRTqDmRdyf/s&#10;9Q9QSwMEFAAAAAgAh07iQILW/RovAgAAUgQAAA4AAABkcnMvZTJvRG9jLnhtbK1UzY7TMBC+I/EO&#10;lu807e62oKrpqmxVhFSxKxXE2XWcJpL/ZLtNygPAG3Diwp3n6nPw2Wm6aOGwBy7uxDP+Zr5vZjq7&#10;bZUkB+F8bXROR4MhJUJzU9R6l9NPH1ev3lDiA9MFk0aLnB6Fp7fzly9mjZ2KK1MZWQhHAKL9tLE5&#10;rUKw0yzzvBKK+YGxQsNZGqdYwKfbZYVjDdCVzK6Gw0nWGFdYZ7jwHrfLzknPiO45gKYsay6Whu+V&#10;0KFDdUKyAEq+qq2n81RtWQoe7svSi0BkTsE0pBNJYG/jmc1nbLpzzFY1P5fAnlPCE06K1RpJL1BL&#10;FhjZu/ovKFVzZ7wpw4AblXVEkiJgMRo+0WZTMSsSF0jt7UV0//9g+YfDgyN1kdMxJZopNPz0/dvp&#10;x6/Tz69kHOVprJ8iamMRF9q3psXQ9Pcel5F1WzoVf8GHwA9xjxdxRRsIx+XrCbpPCYdndD26uUng&#10;2eNb63x4J4wi0cipQ+uSouyw9gF1ILQPiam0WdVSpvZJTZqcTq7Hw/Tg4sELqfEwMugqjVZot+2Z&#10;1tYUR7ByphsLb/mqRvI18+GBOcwB6sWmhHscpTRIYs4WJZVxX/51H+PRHngpaTBXOdVYI0rke422&#10;ATD0huuNbW/ovbozGNQRNtDyZOKBC7I3S2fUZ6zPIuaAi2mOTDkNvXkXutnG+nGxWKQgDJplYa03&#10;lkfoKJ63i32AgEnXKEqnxFkrjFqS+7wWcZb//E5Rj38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21SkV0AAAAAMBAAAPAAAAAAAAAAEAIAAAACIAAABkcnMvZG93bnJldi54bWxQSwECFAAUAAAA&#10;CACHTuJAgtb9Gi8CAABSBAAADgAAAAAAAAABACAAAAAfAQAAZHJzL2Uyb0RvYy54bWxQSwUGAAAA&#10;AAYABgBZAQAAwAUAAAAA&#10;">
              <v:fill on="f" focussize="0,0"/>
              <v:stroke on="f" weight="0.5pt"/>
              <v:imagedata o:title=""/>
              <o:lock v:ext="edit" aspectratio="f"/>
              <v:textbox inset="0mm,0mm,0mm,0mm" style="mso-fit-shape-to-text:t;">
                <w:txbxContent>
                  <w:p w14:paraId="4954D773">
                    <w:pPr>
                      <w:pStyle w:val="7"/>
                      <w:rPr>
                        <w:rFonts w:eastAsiaTheme="minorEastAsia"/>
                      </w:rPr>
                    </w:pPr>
                    <w:r>
                      <w:rPr>
                        <w:rFonts w:hint="eastAsia" w:eastAsiaTheme="minorEastAsia"/>
                      </w:rPr>
                      <w:t>I</w:t>
                    </w:r>
                    <w:r>
                      <w:rPr>
                        <w:rFonts w:eastAsiaTheme="minorEastAsia"/>
                      </w:rPr>
                      <w:t>I</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104206"/>
    </w:sdtPr>
    <w:sdtContent>
      <w:p w14:paraId="554BBEF7">
        <w:pPr>
          <w:pStyle w:val="7"/>
          <w:jc w:val="right"/>
        </w:pPr>
        <w:r>
          <w:fldChar w:fldCharType="begin"/>
        </w:r>
        <w:r>
          <w:instrText xml:space="preserve"> PAGE   \* MERGEFORMAT </w:instrText>
        </w:r>
        <w:r>
          <w:fldChar w:fldCharType="separate"/>
        </w:r>
        <w:r>
          <w:rPr>
            <w:lang w:val="zh-CN"/>
          </w:rPr>
          <w:t>3</w:t>
        </w:r>
        <w:r>
          <w:rPr>
            <w:lang w:val="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104207"/>
    </w:sdtPr>
    <w:sdtContent>
      <w:p w14:paraId="08D905E4">
        <w:pPr>
          <w:pStyle w:val="7"/>
        </w:pPr>
        <w:r>
          <w:fldChar w:fldCharType="begin"/>
        </w:r>
        <w:r>
          <w:instrText xml:space="preserve"> PAGE   \* MERGEFORMAT </w:instrText>
        </w:r>
        <w:r>
          <w:fldChar w:fldCharType="separate"/>
        </w:r>
        <w:r>
          <w:rPr>
            <w:lang w:val="zh-CN"/>
          </w:rPr>
          <w:t>4</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A9AFF">
    <w:pPr>
      <w:pStyle w:val="8"/>
      <w:pBdr>
        <w:bottom w:val="none" w:color="auto" w:sz="0" w:space="0"/>
      </w:pBdr>
      <w:wordWrap w:val="0"/>
      <w:jc w:val="right"/>
      <w:rPr>
        <w:sz w:val="21"/>
        <w:szCs w:val="21"/>
      </w:rPr>
    </w:pPr>
    <w:r>
      <w:rPr>
        <w:rFonts w:hint="eastAsia"/>
        <w:sz w:val="21"/>
        <w:szCs w:val="21"/>
      </w:rPr>
      <w:t>T</w:t>
    </w:r>
    <w:r>
      <w:rPr>
        <w:sz w:val="21"/>
        <w:szCs w:val="21"/>
      </w:rPr>
      <w:t xml:space="preserve">/CBMF </w:t>
    </w:r>
    <w:r>
      <w:rPr>
        <w:rFonts w:hint="eastAsia"/>
        <w:sz w:val="21"/>
        <w:szCs w:val="21"/>
      </w:rPr>
      <w:t>XXX—</w:t>
    </w:r>
    <w:r>
      <w:rPr>
        <w:sz w:val="21"/>
        <w:szCs w:val="21"/>
      </w:rPr>
      <w:t>202</w:t>
    </w:r>
    <w:r>
      <w:rPr>
        <w:rFonts w:hint="eastAsia"/>
        <w:sz w:val="21"/>
        <w:szCs w:val="21"/>
      </w:rPr>
      <w:t>X</w:t>
    </w:r>
    <w:r>
      <w:rPr>
        <w:sz w:val="21"/>
        <w:szCs w:val="21"/>
      </w:rPr>
      <w:t xml:space="preserve"> </w:t>
    </w:r>
  </w:p>
  <w:p w14:paraId="142900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34C8B">
    <w:pPr>
      <w:jc w:val="right"/>
      <w:rPr>
        <w:rFonts w:ascii="Times New Roman" w:hAnsi="Times New Roman" w:cs="Times New Roman"/>
      </w:rPr>
    </w:pPr>
    <w:r>
      <w:rPr>
        <w:rFonts w:ascii="Times New Roman" w:hAnsi="Times New Roman" w:cs="Times New Roman"/>
      </w:rPr>
      <w:t>T/CBMF 119—2021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784F4">
    <w:pPr>
      <w:pStyle w:val="8"/>
      <w:pBdr>
        <w:bottom w:val="none" w:color="auto" w:sz="0" w:space="0"/>
      </w:pBdr>
      <w:wordWrap w:val="0"/>
      <w:jc w:val="right"/>
      <w:rPr>
        <w:sz w:val="21"/>
        <w:szCs w:val="21"/>
      </w:rPr>
    </w:pPr>
    <w:r>
      <w:rPr>
        <w:rFonts w:hint="eastAsia"/>
        <w:sz w:val="21"/>
        <w:szCs w:val="21"/>
      </w:rPr>
      <w:t>T</w:t>
    </w:r>
    <w:r>
      <w:rPr>
        <w:sz w:val="21"/>
        <w:szCs w:val="21"/>
      </w:rPr>
      <w:t xml:space="preserve">/CBMF </w:t>
    </w:r>
    <w:r>
      <w:rPr>
        <w:rFonts w:hint="eastAsia"/>
        <w:sz w:val="21"/>
        <w:szCs w:val="21"/>
      </w:rPr>
      <w:t>XXX—</w:t>
    </w:r>
    <w:r>
      <w:rPr>
        <w:sz w:val="21"/>
        <w:szCs w:val="21"/>
      </w:rPr>
      <w:t>2</w:t>
    </w:r>
    <w:r>
      <w:rPr>
        <w:rFonts w:hint="eastAsia"/>
        <w:sz w:val="21"/>
        <w:szCs w:val="21"/>
      </w:rPr>
      <w:t>0</w:t>
    </w:r>
    <w:r>
      <w:rPr>
        <w:sz w:val="21"/>
        <w:szCs w:val="21"/>
      </w:rPr>
      <w:t>2</w:t>
    </w:r>
    <w:r>
      <w:rPr>
        <w:rFonts w:hint="eastAsia"/>
        <w:sz w:val="21"/>
        <w:szCs w:val="21"/>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F1071">
    <w:pPr>
      <w:pStyle w:val="8"/>
      <w:pBdr>
        <w:bottom w:val="none" w:color="auto" w:sz="0" w:space="0"/>
      </w:pBdr>
      <w:wordWrap w:val="0"/>
      <w:jc w:val="right"/>
      <w:rPr>
        <w:sz w:val="21"/>
        <w:szCs w:val="21"/>
      </w:rPr>
    </w:pPr>
    <w:r>
      <w:rPr>
        <w:rFonts w:hint="eastAsia"/>
        <w:sz w:val="21"/>
        <w:szCs w:val="21"/>
      </w:rPr>
      <w:t>T</w:t>
    </w:r>
    <w:r>
      <w:rPr>
        <w:sz w:val="21"/>
        <w:szCs w:val="21"/>
      </w:rPr>
      <w:t xml:space="preserve">/CBMF </w:t>
    </w:r>
    <w:r>
      <w:rPr>
        <w:rFonts w:hint="eastAsia"/>
        <w:sz w:val="21"/>
        <w:szCs w:val="21"/>
      </w:rPr>
      <w:t>XXX—</w:t>
    </w:r>
    <w:r>
      <w:rPr>
        <w:sz w:val="21"/>
        <w:szCs w:val="21"/>
      </w:rPr>
      <w:t>202</w:t>
    </w:r>
    <w:r>
      <w:rPr>
        <w:rFonts w:hint="eastAsia"/>
        <w:sz w:val="21"/>
        <w:szCs w:val="21"/>
      </w:rPr>
      <w:t>X</w:t>
    </w:r>
    <w:r>
      <w:rPr>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A0260">
    <w:pPr>
      <w:pStyle w:val="8"/>
      <w:pBdr>
        <w:bottom w:val="none" w:color="auto" w:sz="0" w:space="0"/>
      </w:pBdr>
      <w:jc w:val="left"/>
      <w:rPr>
        <w:rFonts w:eastAsia="黑体"/>
        <w:sz w:val="21"/>
        <w:szCs w:val="21"/>
      </w:rPr>
    </w:pPr>
    <w:r>
      <w:rPr>
        <w:rFonts w:eastAsia="黑体"/>
        <w:sz w:val="21"/>
        <w:szCs w:val="21"/>
      </w:rPr>
      <w:t xml:space="preserve">T/CBMF </w:t>
    </w:r>
    <w:r>
      <w:rPr>
        <w:rFonts w:hint="eastAsia" w:eastAsia="黑体"/>
        <w:sz w:val="21"/>
        <w:szCs w:val="21"/>
      </w:rPr>
      <w:t>XXX</w:t>
    </w:r>
    <w:r>
      <w:rPr>
        <w:rFonts w:eastAsia="黑体"/>
        <w:sz w:val="21"/>
        <w:szCs w:val="21"/>
      </w:rPr>
      <w:t>—202</w:t>
    </w:r>
    <w:r>
      <w:rPr>
        <w:rFonts w:hint="eastAsia"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49DD6F04"/>
    <w:multiLevelType w:val="multilevel"/>
    <w:tmpl w:val="49DD6F04"/>
    <w:lvl w:ilvl="0" w:tentative="0">
      <w:start w:val="1"/>
      <w:numFmt w:val="decimal"/>
      <w:suff w:val="nothing"/>
      <w:lvlText w:val="%1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1" w:tentative="0">
      <w:start w:val="1"/>
      <w:numFmt w:val="decimal"/>
      <w:suff w:val="nothing"/>
      <w:lvlText w:val="%1.%2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2">
    <w:nsid w:val="657D3FBC"/>
    <w:multiLevelType w:val="multilevel"/>
    <w:tmpl w:val="657D3FBC"/>
    <w:lvl w:ilvl="0" w:tentative="0">
      <w:start w:val="1"/>
      <w:numFmt w:val="upperLetter"/>
      <w:pStyle w:val="6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1"/>
      <w:suff w:val="nothing"/>
      <w:lvlText w:val="%1.%2.%3　"/>
      <w:lvlJc w:val="left"/>
      <w:pPr>
        <w:ind w:left="0" w:firstLine="0"/>
      </w:pPr>
      <w:rPr>
        <w:rFonts w:hint="eastAsia" w:ascii="黑体" w:hAnsi="Times New Roman" w:eastAsia="黑体"/>
        <w:b w:val="0"/>
        <w:i w:val="0"/>
        <w:sz w:val="21"/>
      </w:rPr>
    </w:lvl>
    <w:lvl w:ilvl="3" w:tentative="0">
      <w:start w:val="1"/>
      <w:numFmt w:val="decimal"/>
      <w:pStyle w:val="66"/>
      <w:suff w:val="nothing"/>
      <w:lvlText w:val="%1.%2.%3.%4　"/>
      <w:lvlJc w:val="left"/>
      <w:pPr>
        <w:ind w:left="0" w:firstLine="0"/>
      </w:pPr>
      <w:rPr>
        <w:rFonts w:hint="eastAsia" w:ascii="黑体" w:hAnsi="Times New Roman" w:eastAsia="黑体"/>
        <w:b w:val="0"/>
        <w:i w:val="0"/>
        <w:sz w:val="21"/>
      </w:rPr>
    </w:lvl>
    <w:lvl w:ilvl="4" w:tentative="0">
      <w:start w:val="1"/>
      <w:numFmt w:val="decimal"/>
      <w:pStyle w:val="67"/>
      <w:suff w:val="nothing"/>
      <w:lvlText w:val="%1.%2.%3.%4.%5　"/>
      <w:lvlJc w:val="left"/>
      <w:pPr>
        <w:ind w:left="0" w:firstLine="0"/>
      </w:pPr>
      <w:rPr>
        <w:rFonts w:hint="eastAsia" w:ascii="黑体" w:hAnsi="Times New Roman" w:eastAsia="黑体"/>
        <w:b w:val="0"/>
        <w:i w:val="0"/>
        <w:sz w:val="21"/>
      </w:rPr>
    </w:lvl>
    <w:lvl w:ilvl="5" w:tentative="0">
      <w:start w:val="1"/>
      <w:numFmt w:val="decimal"/>
      <w:pStyle w:val="68"/>
      <w:suff w:val="nothing"/>
      <w:lvlText w:val="%1.%2.%3.%4.%5.%6　"/>
      <w:lvlJc w:val="left"/>
      <w:pPr>
        <w:ind w:left="0" w:firstLine="0"/>
      </w:pPr>
      <w:rPr>
        <w:rFonts w:hint="eastAsia" w:ascii="黑体" w:hAnsi="Times New Roman" w:eastAsia="黑体"/>
        <w:b w:val="0"/>
        <w:i w:val="0"/>
        <w:sz w:val="21"/>
      </w:rPr>
    </w:lvl>
    <w:lvl w:ilvl="6" w:tentative="0">
      <w:start w:val="1"/>
      <w:numFmt w:val="decimal"/>
      <w:pStyle w:val="6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pStyle w:val="20"/>
      <w:suff w:val="nothing"/>
      <w:lvlText w:val="%1"/>
      <w:lvlJc w:val="left"/>
      <w:pPr>
        <w:ind w:left="0" w:firstLine="0"/>
      </w:pPr>
      <w:rPr>
        <w:rFonts w:hint="default" w:ascii="Times New Roman" w:hAnsi="Times New Roman"/>
        <w:b/>
        <w:i w:val="0"/>
        <w:sz w:val="21"/>
      </w:rPr>
    </w:lvl>
    <w:lvl w:ilvl="1" w:tentative="0">
      <w:start w:val="1"/>
      <w:numFmt w:val="decimal"/>
      <w:pStyle w:val="21"/>
      <w:suff w:val="nothing"/>
      <w:lvlText w:val="%1%2　"/>
      <w:lvlJc w:val="left"/>
      <w:pPr>
        <w:ind w:left="0" w:firstLine="0"/>
      </w:pPr>
      <w:rPr>
        <w:rFonts w:hint="eastAsia" w:ascii="黑体" w:hAnsi="Times New Roman" w:eastAsia="黑体"/>
        <w:b w:val="0"/>
        <w:i w:val="0"/>
        <w:sz w:val="21"/>
      </w:rPr>
    </w:lvl>
    <w:lvl w:ilvl="2" w:tentative="0">
      <w:start w:val="1"/>
      <w:numFmt w:val="decimal"/>
      <w:pStyle w:val="22"/>
      <w:suff w:val="nothing"/>
      <w:lvlText w:val="%1%2.%3　"/>
      <w:lvlJc w:val="left"/>
      <w:pPr>
        <w:ind w:left="0" w:firstLine="0"/>
      </w:pPr>
      <w:rPr>
        <w:rFonts w:hint="eastAsia" w:ascii="黑体" w:hAnsi="Times New Roman" w:eastAsia="黑体"/>
        <w:b w:val="0"/>
        <w:i w:val="0"/>
        <w:sz w:val="21"/>
      </w:rPr>
    </w:lvl>
    <w:lvl w:ilvl="3" w:tentative="0">
      <w:start w:val="1"/>
      <w:numFmt w:val="decimal"/>
      <w:pStyle w:val="23"/>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mirrorMargins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xMTJkMTEwNzZjNDE1ZmRiZDYzNDg0ZjllYjdkMGEifQ=="/>
  </w:docVars>
  <w:rsids>
    <w:rsidRoot w:val="00435052"/>
    <w:rsid w:val="0000168C"/>
    <w:rsid w:val="0000215E"/>
    <w:rsid w:val="0000230B"/>
    <w:rsid w:val="00004AC8"/>
    <w:rsid w:val="00004D7F"/>
    <w:rsid w:val="00005299"/>
    <w:rsid w:val="00005301"/>
    <w:rsid w:val="00005945"/>
    <w:rsid w:val="00005EE8"/>
    <w:rsid w:val="00006B94"/>
    <w:rsid w:val="00006CF9"/>
    <w:rsid w:val="00006EF0"/>
    <w:rsid w:val="00007886"/>
    <w:rsid w:val="00007A38"/>
    <w:rsid w:val="00007EF2"/>
    <w:rsid w:val="000101D5"/>
    <w:rsid w:val="0001036D"/>
    <w:rsid w:val="00010F1F"/>
    <w:rsid w:val="0001621F"/>
    <w:rsid w:val="00016BAC"/>
    <w:rsid w:val="0001794A"/>
    <w:rsid w:val="00017C82"/>
    <w:rsid w:val="0002146E"/>
    <w:rsid w:val="000227AD"/>
    <w:rsid w:val="00022A35"/>
    <w:rsid w:val="00022F05"/>
    <w:rsid w:val="000232DA"/>
    <w:rsid w:val="00023460"/>
    <w:rsid w:val="00025706"/>
    <w:rsid w:val="0002624A"/>
    <w:rsid w:val="000275EB"/>
    <w:rsid w:val="00030BE1"/>
    <w:rsid w:val="00032702"/>
    <w:rsid w:val="000330CC"/>
    <w:rsid w:val="0003495B"/>
    <w:rsid w:val="00034B2A"/>
    <w:rsid w:val="00034FBA"/>
    <w:rsid w:val="00035578"/>
    <w:rsid w:val="00036C67"/>
    <w:rsid w:val="00037458"/>
    <w:rsid w:val="000378E5"/>
    <w:rsid w:val="000379C2"/>
    <w:rsid w:val="000379FA"/>
    <w:rsid w:val="00037A46"/>
    <w:rsid w:val="00037FA9"/>
    <w:rsid w:val="00040104"/>
    <w:rsid w:val="000407AF"/>
    <w:rsid w:val="000428BF"/>
    <w:rsid w:val="00042CC5"/>
    <w:rsid w:val="000441A1"/>
    <w:rsid w:val="00044EF4"/>
    <w:rsid w:val="00045429"/>
    <w:rsid w:val="00045695"/>
    <w:rsid w:val="00046CFF"/>
    <w:rsid w:val="00046D47"/>
    <w:rsid w:val="000473CC"/>
    <w:rsid w:val="00047D09"/>
    <w:rsid w:val="00047E8B"/>
    <w:rsid w:val="00051A9B"/>
    <w:rsid w:val="00051B2C"/>
    <w:rsid w:val="00052FAC"/>
    <w:rsid w:val="0005333D"/>
    <w:rsid w:val="00055308"/>
    <w:rsid w:val="00055F85"/>
    <w:rsid w:val="00056EEF"/>
    <w:rsid w:val="00057185"/>
    <w:rsid w:val="00057235"/>
    <w:rsid w:val="000578EA"/>
    <w:rsid w:val="000579F6"/>
    <w:rsid w:val="00057FAE"/>
    <w:rsid w:val="00060F7E"/>
    <w:rsid w:val="000617B2"/>
    <w:rsid w:val="0006186D"/>
    <w:rsid w:val="00061F8C"/>
    <w:rsid w:val="0006214A"/>
    <w:rsid w:val="00063199"/>
    <w:rsid w:val="000635AB"/>
    <w:rsid w:val="000647A3"/>
    <w:rsid w:val="0006559A"/>
    <w:rsid w:val="00065D83"/>
    <w:rsid w:val="00065F24"/>
    <w:rsid w:val="000662A7"/>
    <w:rsid w:val="00067152"/>
    <w:rsid w:val="0006770C"/>
    <w:rsid w:val="00070966"/>
    <w:rsid w:val="0007178C"/>
    <w:rsid w:val="0007262F"/>
    <w:rsid w:val="00074108"/>
    <w:rsid w:val="000742F1"/>
    <w:rsid w:val="00074E9B"/>
    <w:rsid w:val="00074F95"/>
    <w:rsid w:val="00075762"/>
    <w:rsid w:val="00075D8D"/>
    <w:rsid w:val="00075DEA"/>
    <w:rsid w:val="000760D9"/>
    <w:rsid w:val="00076228"/>
    <w:rsid w:val="00076DC8"/>
    <w:rsid w:val="00076EF0"/>
    <w:rsid w:val="000772AD"/>
    <w:rsid w:val="00077B00"/>
    <w:rsid w:val="00080970"/>
    <w:rsid w:val="00080A39"/>
    <w:rsid w:val="00081E9D"/>
    <w:rsid w:val="00084C0A"/>
    <w:rsid w:val="000850AD"/>
    <w:rsid w:val="00085448"/>
    <w:rsid w:val="00086474"/>
    <w:rsid w:val="000866C4"/>
    <w:rsid w:val="0008709D"/>
    <w:rsid w:val="0008732C"/>
    <w:rsid w:val="00087923"/>
    <w:rsid w:val="0009288D"/>
    <w:rsid w:val="000928AE"/>
    <w:rsid w:val="00092A96"/>
    <w:rsid w:val="0009332D"/>
    <w:rsid w:val="000934ED"/>
    <w:rsid w:val="00093C11"/>
    <w:rsid w:val="0009415F"/>
    <w:rsid w:val="0009547A"/>
    <w:rsid w:val="00096A54"/>
    <w:rsid w:val="00096D68"/>
    <w:rsid w:val="0009706B"/>
    <w:rsid w:val="000A1336"/>
    <w:rsid w:val="000A208C"/>
    <w:rsid w:val="000A3964"/>
    <w:rsid w:val="000A41B6"/>
    <w:rsid w:val="000A7776"/>
    <w:rsid w:val="000A7A8D"/>
    <w:rsid w:val="000B2C55"/>
    <w:rsid w:val="000B4177"/>
    <w:rsid w:val="000B6053"/>
    <w:rsid w:val="000B6F00"/>
    <w:rsid w:val="000B78CE"/>
    <w:rsid w:val="000C048C"/>
    <w:rsid w:val="000C0608"/>
    <w:rsid w:val="000C12E5"/>
    <w:rsid w:val="000C226D"/>
    <w:rsid w:val="000C2CF8"/>
    <w:rsid w:val="000C3058"/>
    <w:rsid w:val="000C36BD"/>
    <w:rsid w:val="000C3715"/>
    <w:rsid w:val="000C3D15"/>
    <w:rsid w:val="000C54FC"/>
    <w:rsid w:val="000C55B3"/>
    <w:rsid w:val="000C56E2"/>
    <w:rsid w:val="000C5D89"/>
    <w:rsid w:val="000C7015"/>
    <w:rsid w:val="000C7AF6"/>
    <w:rsid w:val="000C7ED5"/>
    <w:rsid w:val="000D05B1"/>
    <w:rsid w:val="000D0789"/>
    <w:rsid w:val="000D082C"/>
    <w:rsid w:val="000D2526"/>
    <w:rsid w:val="000D2AC3"/>
    <w:rsid w:val="000D2ECF"/>
    <w:rsid w:val="000D3B1A"/>
    <w:rsid w:val="000D5412"/>
    <w:rsid w:val="000D5E60"/>
    <w:rsid w:val="000D6823"/>
    <w:rsid w:val="000D721B"/>
    <w:rsid w:val="000D7DFD"/>
    <w:rsid w:val="000E043F"/>
    <w:rsid w:val="000E0C65"/>
    <w:rsid w:val="000E2231"/>
    <w:rsid w:val="000E2C27"/>
    <w:rsid w:val="000E2CB7"/>
    <w:rsid w:val="000E32C1"/>
    <w:rsid w:val="000E4C75"/>
    <w:rsid w:val="000E5206"/>
    <w:rsid w:val="000E5792"/>
    <w:rsid w:val="000E653B"/>
    <w:rsid w:val="000E6833"/>
    <w:rsid w:val="000E7650"/>
    <w:rsid w:val="000F0826"/>
    <w:rsid w:val="000F1870"/>
    <w:rsid w:val="000F1B48"/>
    <w:rsid w:val="000F2424"/>
    <w:rsid w:val="000F3133"/>
    <w:rsid w:val="000F3590"/>
    <w:rsid w:val="000F36E8"/>
    <w:rsid w:val="000F469C"/>
    <w:rsid w:val="000F4DCA"/>
    <w:rsid w:val="000F720A"/>
    <w:rsid w:val="000F77BF"/>
    <w:rsid w:val="00101296"/>
    <w:rsid w:val="001019F7"/>
    <w:rsid w:val="00102E9F"/>
    <w:rsid w:val="0010434C"/>
    <w:rsid w:val="00104612"/>
    <w:rsid w:val="00104C2D"/>
    <w:rsid w:val="00105C58"/>
    <w:rsid w:val="001062B7"/>
    <w:rsid w:val="0010638D"/>
    <w:rsid w:val="00106492"/>
    <w:rsid w:val="00107F23"/>
    <w:rsid w:val="001101BA"/>
    <w:rsid w:val="0011035B"/>
    <w:rsid w:val="0011074D"/>
    <w:rsid w:val="00110E98"/>
    <w:rsid w:val="00111873"/>
    <w:rsid w:val="00112BB2"/>
    <w:rsid w:val="00112EF3"/>
    <w:rsid w:val="0011375A"/>
    <w:rsid w:val="00115C3B"/>
    <w:rsid w:val="00116C75"/>
    <w:rsid w:val="001171EA"/>
    <w:rsid w:val="00117601"/>
    <w:rsid w:val="001178B2"/>
    <w:rsid w:val="00117FAF"/>
    <w:rsid w:val="00121138"/>
    <w:rsid w:val="0012322D"/>
    <w:rsid w:val="00123A91"/>
    <w:rsid w:val="00124916"/>
    <w:rsid w:val="001254ED"/>
    <w:rsid w:val="0012571E"/>
    <w:rsid w:val="00126B1A"/>
    <w:rsid w:val="001276BA"/>
    <w:rsid w:val="00133B8F"/>
    <w:rsid w:val="00134A8A"/>
    <w:rsid w:val="00134E1C"/>
    <w:rsid w:val="00134F40"/>
    <w:rsid w:val="001350A3"/>
    <w:rsid w:val="00135849"/>
    <w:rsid w:val="00135D8E"/>
    <w:rsid w:val="00137C74"/>
    <w:rsid w:val="0014010A"/>
    <w:rsid w:val="00140756"/>
    <w:rsid w:val="00141388"/>
    <w:rsid w:val="00142226"/>
    <w:rsid w:val="00142C1E"/>
    <w:rsid w:val="001446D5"/>
    <w:rsid w:val="0014486C"/>
    <w:rsid w:val="00144A0F"/>
    <w:rsid w:val="00145C89"/>
    <w:rsid w:val="00146BD5"/>
    <w:rsid w:val="00146F46"/>
    <w:rsid w:val="0015064E"/>
    <w:rsid w:val="00150C02"/>
    <w:rsid w:val="00150C1F"/>
    <w:rsid w:val="00150D8A"/>
    <w:rsid w:val="0015154F"/>
    <w:rsid w:val="001529F8"/>
    <w:rsid w:val="00152E9C"/>
    <w:rsid w:val="00153F0E"/>
    <w:rsid w:val="00155601"/>
    <w:rsid w:val="00157084"/>
    <w:rsid w:val="00157868"/>
    <w:rsid w:val="00160045"/>
    <w:rsid w:val="00160F8C"/>
    <w:rsid w:val="00161CCE"/>
    <w:rsid w:val="00162D6F"/>
    <w:rsid w:val="00162DD5"/>
    <w:rsid w:val="00164B46"/>
    <w:rsid w:val="001674AC"/>
    <w:rsid w:val="001678BA"/>
    <w:rsid w:val="00167FB4"/>
    <w:rsid w:val="0017136D"/>
    <w:rsid w:val="001720CA"/>
    <w:rsid w:val="0017457E"/>
    <w:rsid w:val="00174EB5"/>
    <w:rsid w:val="00175F93"/>
    <w:rsid w:val="00176D07"/>
    <w:rsid w:val="00180043"/>
    <w:rsid w:val="0018164D"/>
    <w:rsid w:val="001824BD"/>
    <w:rsid w:val="00183AE6"/>
    <w:rsid w:val="00184257"/>
    <w:rsid w:val="00184FBE"/>
    <w:rsid w:val="001879DA"/>
    <w:rsid w:val="001905B1"/>
    <w:rsid w:val="00191912"/>
    <w:rsid w:val="00193F04"/>
    <w:rsid w:val="0019577D"/>
    <w:rsid w:val="00196846"/>
    <w:rsid w:val="001978BF"/>
    <w:rsid w:val="00197D19"/>
    <w:rsid w:val="00197E3C"/>
    <w:rsid w:val="001A0198"/>
    <w:rsid w:val="001A0AFE"/>
    <w:rsid w:val="001A2383"/>
    <w:rsid w:val="001A2962"/>
    <w:rsid w:val="001A425A"/>
    <w:rsid w:val="001A42C7"/>
    <w:rsid w:val="001A4CF6"/>
    <w:rsid w:val="001A5632"/>
    <w:rsid w:val="001A6AAF"/>
    <w:rsid w:val="001A7CB8"/>
    <w:rsid w:val="001A7F19"/>
    <w:rsid w:val="001B0544"/>
    <w:rsid w:val="001B0989"/>
    <w:rsid w:val="001B0BB7"/>
    <w:rsid w:val="001B15D8"/>
    <w:rsid w:val="001B1F0D"/>
    <w:rsid w:val="001B31D7"/>
    <w:rsid w:val="001B341F"/>
    <w:rsid w:val="001B356D"/>
    <w:rsid w:val="001B3758"/>
    <w:rsid w:val="001B4C21"/>
    <w:rsid w:val="001B4F2D"/>
    <w:rsid w:val="001B6C8D"/>
    <w:rsid w:val="001C02AB"/>
    <w:rsid w:val="001C0389"/>
    <w:rsid w:val="001C066F"/>
    <w:rsid w:val="001C2138"/>
    <w:rsid w:val="001C2234"/>
    <w:rsid w:val="001C29D9"/>
    <w:rsid w:val="001C2AFA"/>
    <w:rsid w:val="001C2B00"/>
    <w:rsid w:val="001C2D64"/>
    <w:rsid w:val="001C3093"/>
    <w:rsid w:val="001C3296"/>
    <w:rsid w:val="001C4979"/>
    <w:rsid w:val="001C4F70"/>
    <w:rsid w:val="001C62E6"/>
    <w:rsid w:val="001C7707"/>
    <w:rsid w:val="001C7EAF"/>
    <w:rsid w:val="001D0397"/>
    <w:rsid w:val="001D1AA2"/>
    <w:rsid w:val="001D30FB"/>
    <w:rsid w:val="001D3E2C"/>
    <w:rsid w:val="001D40DF"/>
    <w:rsid w:val="001D43E4"/>
    <w:rsid w:val="001D495A"/>
    <w:rsid w:val="001D4DEC"/>
    <w:rsid w:val="001D6D76"/>
    <w:rsid w:val="001D7497"/>
    <w:rsid w:val="001D7831"/>
    <w:rsid w:val="001D7B70"/>
    <w:rsid w:val="001E04BC"/>
    <w:rsid w:val="001E079E"/>
    <w:rsid w:val="001E0A83"/>
    <w:rsid w:val="001E0E41"/>
    <w:rsid w:val="001E28C4"/>
    <w:rsid w:val="001E2A3A"/>
    <w:rsid w:val="001E311A"/>
    <w:rsid w:val="001E4795"/>
    <w:rsid w:val="001E4A79"/>
    <w:rsid w:val="001E503A"/>
    <w:rsid w:val="001E5C31"/>
    <w:rsid w:val="001E6B21"/>
    <w:rsid w:val="001E6E22"/>
    <w:rsid w:val="001E7838"/>
    <w:rsid w:val="001E7D89"/>
    <w:rsid w:val="001F122A"/>
    <w:rsid w:val="001F1749"/>
    <w:rsid w:val="001F19DF"/>
    <w:rsid w:val="001F459C"/>
    <w:rsid w:val="001F4C16"/>
    <w:rsid w:val="001F5BC4"/>
    <w:rsid w:val="001F640F"/>
    <w:rsid w:val="001F6D70"/>
    <w:rsid w:val="001F7995"/>
    <w:rsid w:val="002001C4"/>
    <w:rsid w:val="00201308"/>
    <w:rsid w:val="00201F38"/>
    <w:rsid w:val="00202256"/>
    <w:rsid w:val="0020311D"/>
    <w:rsid w:val="00203A15"/>
    <w:rsid w:val="00204179"/>
    <w:rsid w:val="002074F8"/>
    <w:rsid w:val="00207630"/>
    <w:rsid w:val="002102A5"/>
    <w:rsid w:val="0021093F"/>
    <w:rsid w:val="00211048"/>
    <w:rsid w:val="00214193"/>
    <w:rsid w:val="00215CE6"/>
    <w:rsid w:val="00215EAC"/>
    <w:rsid w:val="00216B82"/>
    <w:rsid w:val="002173E7"/>
    <w:rsid w:val="00217AE2"/>
    <w:rsid w:val="002223F7"/>
    <w:rsid w:val="0022342C"/>
    <w:rsid w:val="00223754"/>
    <w:rsid w:val="00223919"/>
    <w:rsid w:val="00223AF6"/>
    <w:rsid w:val="00223CC2"/>
    <w:rsid w:val="002255F7"/>
    <w:rsid w:val="00227B76"/>
    <w:rsid w:val="0023080A"/>
    <w:rsid w:val="0023191B"/>
    <w:rsid w:val="00231FFD"/>
    <w:rsid w:val="002328AB"/>
    <w:rsid w:val="002331BC"/>
    <w:rsid w:val="002349C3"/>
    <w:rsid w:val="00235324"/>
    <w:rsid w:val="00235B43"/>
    <w:rsid w:val="002363CD"/>
    <w:rsid w:val="00237175"/>
    <w:rsid w:val="0023765A"/>
    <w:rsid w:val="00240BA6"/>
    <w:rsid w:val="00240CA7"/>
    <w:rsid w:val="002410AE"/>
    <w:rsid w:val="0024202F"/>
    <w:rsid w:val="00243A8E"/>
    <w:rsid w:val="002448C5"/>
    <w:rsid w:val="00245480"/>
    <w:rsid w:val="00245E6F"/>
    <w:rsid w:val="00246209"/>
    <w:rsid w:val="00246949"/>
    <w:rsid w:val="00246C9A"/>
    <w:rsid w:val="00247313"/>
    <w:rsid w:val="0025034A"/>
    <w:rsid w:val="00250469"/>
    <w:rsid w:val="002517D2"/>
    <w:rsid w:val="0025215C"/>
    <w:rsid w:val="00252AD9"/>
    <w:rsid w:val="00253914"/>
    <w:rsid w:val="00253B84"/>
    <w:rsid w:val="002543E9"/>
    <w:rsid w:val="00254A75"/>
    <w:rsid w:val="00254D39"/>
    <w:rsid w:val="0025562B"/>
    <w:rsid w:val="0025624D"/>
    <w:rsid w:val="00257CE4"/>
    <w:rsid w:val="00257E31"/>
    <w:rsid w:val="00261547"/>
    <w:rsid w:val="0026310F"/>
    <w:rsid w:val="00263668"/>
    <w:rsid w:val="00263EFF"/>
    <w:rsid w:val="00264F10"/>
    <w:rsid w:val="002650DC"/>
    <w:rsid w:val="002669C5"/>
    <w:rsid w:val="00270AFC"/>
    <w:rsid w:val="00270D63"/>
    <w:rsid w:val="00272571"/>
    <w:rsid w:val="00272CC9"/>
    <w:rsid w:val="00273220"/>
    <w:rsid w:val="002734EA"/>
    <w:rsid w:val="002746F4"/>
    <w:rsid w:val="002751DD"/>
    <w:rsid w:val="00275F75"/>
    <w:rsid w:val="00275F7B"/>
    <w:rsid w:val="002768AD"/>
    <w:rsid w:val="00276946"/>
    <w:rsid w:val="00276A25"/>
    <w:rsid w:val="002815FE"/>
    <w:rsid w:val="00282951"/>
    <w:rsid w:val="00282FFF"/>
    <w:rsid w:val="00283457"/>
    <w:rsid w:val="00283804"/>
    <w:rsid w:val="0028380F"/>
    <w:rsid w:val="00284488"/>
    <w:rsid w:val="002864B6"/>
    <w:rsid w:val="00286539"/>
    <w:rsid w:val="00286C27"/>
    <w:rsid w:val="00287FC7"/>
    <w:rsid w:val="002924DE"/>
    <w:rsid w:val="00292702"/>
    <w:rsid w:val="0029492E"/>
    <w:rsid w:val="00294AD6"/>
    <w:rsid w:val="0029645B"/>
    <w:rsid w:val="002965E7"/>
    <w:rsid w:val="00296B29"/>
    <w:rsid w:val="0029744C"/>
    <w:rsid w:val="00297845"/>
    <w:rsid w:val="002A08BE"/>
    <w:rsid w:val="002A1858"/>
    <w:rsid w:val="002A1B6E"/>
    <w:rsid w:val="002A1EA3"/>
    <w:rsid w:val="002A28E0"/>
    <w:rsid w:val="002A46C2"/>
    <w:rsid w:val="002A4E64"/>
    <w:rsid w:val="002A4F02"/>
    <w:rsid w:val="002A4F97"/>
    <w:rsid w:val="002A591C"/>
    <w:rsid w:val="002A5B28"/>
    <w:rsid w:val="002A6197"/>
    <w:rsid w:val="002B0F77"/>
    <w:rsid w:val="002B1EA6"/>
    <w:rsid w:val="002B2CFD"/>
    <w:rsid w:val="002B6773"/>
    <w:rsid w:val="002B7ADB"/>
    <w:rsid w:val="002C0FE3"/>
    <w:rsid w:val="002C13B9"/>
    <w:rsid w:val="002C24FB"/>
    <w:rsid w:val="002C4353"/>
    <w:rsid w:val="002C4456"/>
    <w:rsid w:val="002C76F2"/>
    <w:rsid w:val="002C7715"/>
    <w:rsid w:val="002D01B4"/>
    <w:rsid w:val="002D04A0"/>
    <w:rsid w:val="002D18EC"/>
    <w:rsid w:val="002D2A1D"/>
    <w:rsid w:val="002D3A92"/>
    <w:rsid w:val="002D42DA"/>
    <w:rsid w:val="002D44FA"/>
    <w:rsid w:val="002D5989"/>
    <w:rsid w:val="002D70E4"/>
    <w:rsid w:val="002E0AA7"/>
    <w:rsid w:val="002E10FB"/>
    <w:rsid w:val="002E12E8"/>
    <w:rsid w:val="002E384F"/>
    <w:rsid w:val="002E4787"/>
    <w:rsid w:val="002E52A8"/>
    <w:rsid w:val="002E5BD1"/>
    <w:rsid w:val="002E62E3"/>
    <w:rsid w:val="002E6444"/>
    <w:rsid w:val="002E6C8D"/>
    <w:rsid w:val="002E6F48"/>
    <w:rsid w:val="002E72CC"/>
    <w:rsid w:val="002E7F59"/>
    <w:rsid w:val="002F08FC"/>
    <w:rsid w:val="002F2682"/>
    <w:rsid w:val="002F2AF6"/>
    <w:rsid w:val="002F2BC3"/>
    <w:rsid w:val="002F368F"/>
    <w:rsid w:val="002F4113"/>
    <w:rsid w:val="002F4BB1"/>
    <w:rsid w:val="002F5768"/>
    <w:rsid w:val="002F65E2"/>
    <w:rsid w:val="002F6681"/>
    <w:rsid w:val="002F7BBA"/>
    <w:rsid w:val="002F7C79"/>
    <w:rsid w:val="00300A52"/>
    <w:rsid w:val="00300D38"/>
    <w:rsid w:val="00300D86"/>
    <w:rsid w:val="00301DF3"/>
    <w:rsid w:val="003020C6"/>
    <w:rsid w:val="00302C93"/>
    <w:rsid w:val="003036E6"/>
    <w:rsid w:val="00304116"/>
    <w:rsid w:val="00305141"/>
    <w:rsid w:val="0030693A"/>
    <w:rsid w:val="00306BD5"/>
    <w:rsid w:val="00307E42"/>
    <w:rsid w:val="003102EF"/>
    <w:rsid w:val="00310501"/>
    <w:rsid w:val="00310980"/>
    <w:rsid w:val="00311288"/>
    <w:rsid w:val="003117AB"/>
    <w:rsid w:val="00311D1B"/>
    <w:rsid w:val="00314327"/>
    <w:rsid w:val="003146B7"/>
    <w:rsid w:val="00316D8B"/>
    <w:rsid w:val="00317968"/>
    <w:rsid w:val="00320222"/>
    <w:rsid w:val="003212D7"/>
    <w:rsid w:val="0032250D"/>
    <w:rsid w:val="00322DFE"/>
    <w:rsid w:val="003232C6"/>
    <w:rsid w:val="00323600"/>
    <w:rsid w:val="003240D2"/>
    <w:rsid w:val="00324F5C"/>
    <w:rsid w:val="003250C9"/>
    <w:rsid w:val="0032605B"/>
    <w:rsid w:val="00326D70"/>
    <w:rsid w:val="0032700B"/>
    <w:rsid w:val="00327E5D"/>
    <w:rsid w:val="003307E8"/>
    <w:rsid w:val="00330CEC"/>
    <w:rsid w:val="00331404"/>
    <w:rsid w:val="003321F2"/>
    <w:rsid w:val="0033252E"/>
    <w:rsid w:val="00332835"/>
    <w:rsid w:val="0033285A"/>
    <w:rsid w:val="00332F34"/>
    <w:rsid w:val="003357A9"/>
    <w:rsid w:val="0033666C"/>
    <w:rsid w:val="003368D0"/>
    <w:rsid w:val="00337171"/>
    <w:rsid w:val="00340046"/>
    <w:rsid w:val="003401EA"/>
    <w:rsid w:val="00341AF4"/>
    <w:rsid w:val="00341C67"/>
    <w:rsid w:val="00342681"/>
    <w:rsid w:val="00342E31"/>
    <w:rsid w:val="003431DB"/>
    <w:rsid w:val="00343E14"/>
    <w:rsid w:val="00345ABC"/>
    <w:rsid w:val="003474B2"/>
    <w:rsid w:val="00350865"/>
    <w:rsid w:val="00351090"/>
    <w:rsid w:val="003511E3"/>
    <w:rsid w:val="003516B8"/>
    <w:rsid w:val="00351BDD"/>
    <w:rsid w:val="003525A5"/>
    <w:rsid w:val="00352B50"/>
    <w:rsid w:val="00352D05"/>
    <w:rsid w:val="00352F89"/>
    <w:rsid w:val="0035334F"/>
    <w:rsid w:val="00353AE1"/>
    <w:rsid w:val="00354692"/>
    <w:rsid w:val="00354731"/>
    <w:rsid w:val="00356EC4"/>
    <w:rsid w:val="003574F2"/>
    <w:rsid w:val="0035769C"/>
    <w:rsid w:val="00357897"/>
    <w:rsid w:val="00357A21"/>
    <w:rsid w:val="00360868"/>
    <w:rsid w:val="00360929"/>
    <w:rsid w:val="00360B77"/>
    <w:rsid w:val="0036116B"/>
    <w:rsid w:val="0036170B"/>
    <w:rsid w:val="003632A4"/>
    <w:rsid w:val="00363707"/>
    <w:rsid w:val="00364FCE"/>
    <w:rsid w:val="00365D83"/>
    <w:rsid w:val="003669BC"/>
    <w:rsid w:val="00366AA3"/>
    <w:rsid w:val="00366E1E"/>
    <w:rsid w:val="003735DF"/>
    <w:rsid w:val="00373619"/>
    <w:rsid w:val="003767E7"/>
    <w:rsid w:val="003775E5"/>
    <w:rsid w:val="00377A61"/>
    <w:rsid w:val="00377E86"/>
    <w:rsid w:val="003800E0"/>
    <w:rsid w:val="003808FA"/>
    <w:rsid w:val="00381179"/>
    <w:rsid w:val="00381759"/>
    <w:rsid w:val="003817E4"/>
    <w:rsid w:val="003827A7"/>
    <w:rsid w:val="00382BBF"/>
    <w:rsid w:val="003831B3"/>
    <w:rsid w:val="00383701"/>
    <w:rsid w:val="00387427"/>
    <w:rsid w:val="00387575"/>
    <w:rsid w:val="00390216"/>
    <w:rsid w:val="0039050C"/>
    <w:rsid w:val="00390BCF"/>
    <w:rsid w:val="0039296C"/>
    <w:rsid w:val="00392FC3"/>
    <w:rsid w:val="0039317D"/>
    <w:rsid w:val="0039530C"/>
    <w:rsid w:val="00395467"/>
    <w:rsid w:val="0039547E"/>
    <w:rsid w:val="00395869"/>
    <w:rsid w:val="0039617B"/>
    <w:rsid w:val="003961CA"/>
    <w:rsid w:val="00396C5C"/>
    <w:rsid w:val="003979A5"/>
    <w:rsid w:val="003979BA"/>
    <w:rsid w:val="003A05FF"/>
    <w:rsid w:val="003A062D"/>
    <w:rsid w:val="003A1FA1"/>
    <w:rsid w:val="003A463A"/>
    <w:rsid w:val="003A5473"/>
    <w:rsid w:val="003A5C22"/>
    <w:rsid w:val="003A5CF9"/>
    <w:rsid w:val="003A727D"/>
    <w:rsid w:val="003A7421"/>
    <w:rsid w:val="003A75B2"/>
    <w:rsid w:val="003A7C00"/>
    <w:rsid w:val="003B20AC"/>
    <w:rsid w:val="003B292A"/>
    <w:rsid w:val="003B41F4"/>
    <w:rsid w:val="003B4786"/>
    <w:rsid w:val="003B4E61"/>
    <w:rsid w:val="003B6D94"/>
    <w:rsid w:val="003B742C"/>
    <w:rsid w:val="003B75E1"/>
    <w:rsid w:val="003C00D0"/>
    <w:rsid w:val="003C0506"/>
    <w:rsid w:val="003C0CA8"/>
    <w:rsid w:val="003C0FFF"/>
    <w:rsid w:val="003C1126"/>
    <w:rsid w:val="003C20DA"/>
    <w:rsid w:val="003C2661"/>
    <w:rsid w:val="003C2FC9"/>
    <w:rsid w:val="003C31A9"/>
    <w:rsid w:val="003C3FE2"/>
    <w:rsid w:val="003C4DE5"/>
    <w:rsid w:val="003C50C8"/>
    <w:rsid w:val="003C5C00"/>
    <w:rsid w:val="003C5CAD"/>
    <w:rsid w:val="003C6713"/>
    <w:rsid w:val="003C672B"/>
    <w:rsid w:val="003C72C8"/>
    <w:rsid w:val="003C7EB5"/>
    <w:rsid w:val="003D013C"/>
    <w:rsid w:val="003D0B21"/>
    <w:rsid w:val="003D1420"/>
    <w:rsid w:val="003D1EB4"/>
    <w:rsid w:val="003D2443"/>
    <w:rsid w:val="003D2DE1"/>
    <w:rsid w:val="003D377C"/>
    <w:rsid w:val="003D3D1D"/>
    <w:rsid w:val="003D3F4E"/>
    <w:rsid w:val="003D4215"/>
    <w:rsid w:val="003D4703"/>
    <w:rsid w:val="003D5443"/>
    <w:rsid w:val="003D58BE"/>
    <w:rsid w:val="003D7893"/>
    <w:rsid w:val="003E114F"/>
    <w:rsid w:val="003E32C4"/>
    <w:rsid w:val="003E333B"/>
    <w:rsid w:val="003E44E6"/>
    <w:rsid w:val="003E47CC"/>
    <w:rsid w:val="003E4BD5"/>
    <w:rsid w:val="003E56BF"/>
    <w:rsid w:val="003E57E3"/>
    <w:rsid w:val="003E5C36"/>
    <w:rsid w:val="003E5D65"/>
    <w:rsid w:val="003E5DAB"/>
    <w:rsid w:val="003E6D24"/>
    <w:rsid w:val="003E745A"/>
    <w:rsid w:val="003F03CA"/>
    <w:rsid w:val="003F04C4"/>
    <w:rsid w:val="003F0547"/>
    <w:rsid w:val="003F0A2F"/>
    <w:rsid w:val="003F108A"/>
    <w:rsid w:val="003F14EB"/>
    <w:rsid w:val="003F1614"/>
    <w:rsid w:val="003F2459"/>
    <w:rsid w:val="003F2925"/>
    <w:rsid w:val="003F3AB5"/>
    <w:rsid w:val="003F4240"/>
    <w:rsid w:val="003F4AD2"/>
    <w:rsid w:val="003F52EC"/>
    <w:rsid w:val="003F555E"/>
    <w:rsid w:val="003F7E9E"/>
    <w:rsid w:val="00401670"/>
    <w:rsid w:val="0040281A"/>
    <w:rsid w:val="0040314D"/>
    <w:rsid w:val="00403A33"/>
    <w:rsid w:val="00404D1C"/>
    <w:rsid w:val="0040557A"/>
    <w:rsid w:val="004060B6"/>
    <w:rsid w:val="004060E5"/>
    <w:rsid w:val="004064C8"/>
    <w:rsid w:val="004066DA"/>
    <w:rsid w:val="004070A9"/>
    <w:rsid w:val="004071C3"/>
    <w:rsid w:val="004076E3"/>
    <w:rsid w:val="00407CCC"/>
    <w:rsid w:val="00410C7F"/>
    <w:rsid w:val="00412427"/>
    <w:rsid w:val="004134C6"/>
    <w:rsid w:val="0041393B"/>
    <w:rsid w:val="0041443F"/>
    <w:rsid w:val="00414B22"/>
    <w:rsid w:val="004155EA"/>
    <w:rsid w:val="0041599E"/>
    <w:rsid w:val="0041696D"/>
    <w:rsid w:val="00416BBD"/>
    <w:rsid w:val="0042066A"/>
    <w:rsid w:val="00420AAA"/>
    <w:rsid w:val="004217B6"/>
    <w:rsid w:val="0042289A"/>
    <w:rsid w:val="004241EB"/>
    <w:rsid w:val="004249A9"/>
    <w:rsid w:val="00425412"/>
    <w:rsid w:val="00426BA6"/>
    <w:rsid w:val="00426CE2"/>
    <w:rsid w:val="00427A46"/>
    <w:rsid w:val="00430FAE"/>
    <w:rsid w:val="004316D5"/>
    <w:rsid w:val="00432EB0"/>
    <w:rsid w:val="004334F1"/>
    <w:rsid w:val="00433874"/>
    <w:rsid w:val="004346EB"/>
    <w:rsid w:val="004349B9"/>
    <w:rsid w:val="00434DAD"/>
    <w:rsid w:val="00434F2D"/>
    <w:rsid w:val="00435052"/>
    <w:rsid w:val="00436536"/>
    <w:rsid w:val="004377F4"/>
    <w:rsid w:val="00437876"/>
    <w:rsid w:val="00440613"/>
    <w:rsid w:val="00443A61"/>
    <w:rsid w:val="004453E4"/>
    <w:rsid w:val="0044585A"/>
    <w:rsid w:val="00445F70"/>
    <w:rsid w:val="0044615D"/>
    <w:rsid w:val="00446947"/>
    <w:rsid w:val="00446D47"/>
    <w:rsid w:val="00446FD0"/>
    <w:rsid w:val="004478C0"/>
    <w:rsid w:val="00447E86"/>
    <w:rsid w:val="00451273"/>
    <w:rsid w:val="004526FE"/>
    <w:rsid w:val="00452D58"/>
    <w:rsid w:val="00453C5D"/>
    <w:rsid w:val="00453DF4"/>
    <w:rsid w:val="00454D75"/>
    <w:rsid w:val="0045697E"/>
    <w:rsid w:val="00456F47"/>
    <w:rsid w:val="00457EB8"/>
    <w:rsid w:val="00457F55"/>
    <w:rsid w:val="0046010A"/>
    <w:rsid w:val="00462468"/>
    <w:rsid w:val="00463888"/>
    <w:rsid w:val="004653ED"/>
    <w:rsid w:val="00465D74"/>
    <w:rsid w:val="00465F98"/>
    <w:rsid w:val="0046715E"/>
    <w:rsid w:val="004708B8"/>
    <w:rsid w:val="00471431"/>
    <w:rsid w:val="00471E9E"/>
    <w:rsid w:val="004720CF"/>
    <w:rsid w:val="00472394"/>
    <w:rsid w:val="00474821"/>
    <w:rsid w:val="0047504D"/>
    <w:rsid w:val="0047524A"/>
    <w:rsid w:val="0047624F"/>
    <w:rsid w:val="0047698F"/>
    <w:rsid w:val="00477249"/>
    <w:rsid w:val="00477F0C"/>
    <w:rsid w:val="004800B9"/>
    <w:rsid w:val="00480842"/>
    <w:rsid w:val="004808A7"/>
    <w:rsid w:val="004811D7"/>
    <w:rsid w:val="00481857"/>
    <w:rsid w:val="0048294B"/>
    <w:rsid w:val="00482B80"/>
    <w:rsid w:val="00484111"/>
    <w:rsid w:val="004842F6"/>
    <w:rsid w:val="00486FD7"/>
    <w:rsid w:val="004872A9"/>
    <w:rsid w:val="004876B2"/>
    <w:rsid w:val="00487D09"/>
    <w:rsid w:val="00491540"/>
    <w:rsid w:val="0049184F"/>
    <w:rsid w:val="00491FD7"/>
    <w:rsid w:val="00492348"/>
    <w:rsid w:val="004924CF"/>
    <w:rsid w:val="0049277F"/>
    <w:rsid w:val="00493365"/>
    <w:rsid w:val="00494B4F"/>
    <w:rsid w:val="00494BA8"/>
    <w:rsid w:val="00494EB6"/>
    <w:rsid w:val="004960AA"/>
    <w:rsid w:val="004964F1"/>
    <w:rsid w:val="00496A7D"/>
    <w:rsid w:val="00496A87"/>
    <w:rsid w:val="004A09CF"/>
    <w:rsid w:val="004A0CE2"/>
    <w:rsid w:val="004A0F1B"/>
    <w:rsid w:val="004A20B4"/>
    <w:rsid w:val="004A213C"/>
    <w:rsid w:val="004A2B35"/>
    <w:rsid w:val="004A358A"/>
    <w:rsid w:val="004A405E"/>
    <w:rsid w:val="004A424D"/>
    <w:rsid w:val="004A434E"/>
    <w:rsid w:val="004A4F54"/>
    <w:rsid w:val="004A5CAB"/>
    <w:rsid w:val="004A627B"/>
    <w:rsid w:val="004A6A33"/>
    <w:rsid w:val="004A71CA"/>
    <w:rsid w:val="004A7F88"/>
    <w:rsid w:val="004B0016"/>
    <w:rsid w:val="004B0A40"/>
    <w:rsid w:val="004B0E56"/>
    <w:rsid w:val="004B1E27"/>
    <w:rsid w:val="004B24CF"/>
    <w:rsid w:val="004B333D"/>
    <w:rsid w:val="004B496C"/>
    <w:rsid w:val="004B4FD4"/>
    <w:rsid w:val="004B5606"/>
    <w:rsid w:val="004B56F6"/>
    <w:rsid w:val="004B61DF"/>
    <w:rsid w:val="004C1A8D"/>
    <w:rsid w:val="004C2170"/>
    <w:rsid w:val="004C26D9"/>
    <w:rsid w:val="004C55CC"/>
    <w:rsid w:val="004C59BB"/>
    <w:rsid w:val="004C7018"/>
    <w:rsid w:val="004D0444"/>
    <w:rsid w:val="004D173F"/>
    <w:rsid w:val="004D249D"/>
    <w:rsid w:val="004D2D58"/>
    <w:rsid w:val="004D30E1"/>
    <w:rsid w:val="004D3ED1"/>
    <w:rsid w:val="004D4447"/>
    <w:rsid w:val="004D4D4C"/>
    <w:rsid w:val="004D4DDB"/>
    <w:rsid w:val="004D64F7"/>
    <w:rsid w:val="004D6C00"/>
    <w:rsid w:val="004D748F"/>
    <w:rsid w:val="004D7881"/>
    <w:rsid w:val="004E0406"/>
    <w:rsid w:val="004E0DDD"/>
    <w:rsid w:val="004E203A"/>
    <w:rsid w:val="004E3D0D"/>
    <w:rsid w:val="004E4DC9"/>
    <w:rsid w:val="004E6588"/>
    <w:rsid w:val="004E7FB9"/>
    <w:rsid w:val="004F07F4"/>
    <w:rsid w:val="004F0EB7"/>
    <w:rsid w:val="004F0F63"/>
    <w:rsid w:val="004F1063"/>
    <w:rsid w:val="004F123E"/>
    <w:rsid w:val="004F2CC8"/>
    <w:rsid w:val="004F2EA4"/>
    <w:rsid w:val="004F3AA6"/>
    <w:rsid w:val="004F47EC"/>
    <w:rsid w:val="004F4F49"/>
    <w:rsid w:val="00500333"/>
    <w:rsid w:val="00500F70"/>
    <w:rsid w:val="0050164A"/>
    <w:rsid w:val="00502C72"/>
    <w:rsid w:val="0050310E"/>
    <w:rsid w:val="00503382"/>
    <w:rsid w:val="0050346C"/>
    <w:rsid w:val="00504750"/>
    <w:rsid w:val="00504A77"/>
    <w:rsid w:val="00505BB0"/>
    <w:rsid w:val="00505D99"/>
    <w:rsid w:val="00506509"/>
    <w:rsid w:val="00506581"/>
    <w:rsid w:val="00506600"/>
    <w:rsid w:val="00506B6F"/>
    <w:rsid w:val="00506F68"/>
    <w:rsid w:val="005078E0"/>
    <w:rsid w:val="00507FBC"/>
    <w:rsid w:val="00510D7C"/>
    <w:rsid w:val="005111F0"/>
    <w:rsid w:val="005117A5"/>
    <w:rsid w:val="0051255D"/>
    <w:rsid w:val="00512E13"/>
    <w:rsid w:val="0051315A"/>
    <w:rsid w:val="0051338D"/>
    <w:rsid w:val="0051371B"/>
    <w:rsid w:val="0051488E"/>
    <w:rsid w:val="00514FFC"/>
    <w:rsid w:val="00515151"/>
    <w:rsid w:val="005174EA"/>
    <w:rsid w:val="0051783B"/>
    <w:rsid w:val="00517DFD"/>
    <w:rsid w:val="00521794"/>
    <w:rsid w:val="00521859"/>
    <w:rsid w:val="005226D3"/>
    <w:rsid w:val="0052328D"/>
    <w:rsid w:val="0052445E"/>
    <w:rsid w:val="00524CCA"/>
    <w:rsid w:val="00524D1F"/>
    <w:rsid w:val="005252A0"/>
    <w:rsid w:val="005257F1"/>
    <w:rsid w:val="00525C01"/>
    <w:rsid w:val="00526593"/>
    <w:rsid w:val="00526AE5"/>
    <w:rsid w:val="00530246"/>
    <w:rsid w:val="00531588"/>
    <w:rsid w:val="005317B4"/>
    <w:rsid w:val="0053191B"/>
    <w:rsid w:val="005321E3"/>
    <w:rsid w:val="005321F4"/>
    <w:rsid w:val="005334BF"/>
    <w:rsid w:val="00533502"/>
    <w:rsid w:val="00533AC3"/>
    <w:rsid w:val="0053502D"/>
    <w:rsid w:val="0053569E"/>
    <w:rsid w:val="00535D57"/>
    <w:rsid w:val="00535DF3"/>
    <w:rsid w:val="00536F6F"/>
    <w:rsid w:val="0054037D"/>
    <w:rsid w:val="005412B2"/>
    <w:rsid w:val="005418E6"/>
    <w:rsid w:val="005440E0"/>
    <w:rsid w:val="00544170"/>
    <w:rsid w:val="00545609"/>
    <w:rsid w:val="005457D4"/>
    <w:rsid w:val="00545BF2"/>
    <w:rsid w:val="005502BA"/>
    <w:rsid w:val="0055084E"/>
    <w:rsid w:val="005512B4"/>
    <w:rsid w:val="0055191F"/>
    <w:rsid w:val="005519DF"/>
    <w:rsid w:val="00552487"/>
    <w:rsid w:val="00552BA8"/>
    <w:rsid w:val="005530D3"/>
    <w:rsid w:val="005533EB"/>
    <w:rsid w:val="00556AD8"/>
    <w:rsid w:val="00557CF6"/>
    <w:rsid w:val="0056076F"/>
    <w:rsid w:val="005614BB"/>
    <w:rsid w:val="005615CA"/>
    <w:rsid w:val="00563450"/>
    <w:rsid w:val="005670F8"/>
    <w:rsid w:val="0057170E"/>
    <w:rsid w:val="0057172D"/>
    <w:rsid w:val="00571D10"/>
    <w:rsid w:val="00571DE0"/>
    <w:rsid w:val="005721AC"/>
    <w:rsid w:val="00572C68"/>
    <w:rsid w:val="005733A8"/>
    <w:rsid w:val="00574A51"/>
    <w:rsid w:val="00574C34"/>
    <w:rsid w:val="00574C57"/>
    <w:rsid w:val="00575990"/>
    <w:rsid w:val="005759CA"/>
    <w:rsid w:val="00576FF2"/>
    <w:rsid w:val="00577045"/>
    <w:rsid w:val="005772FE"/>
    <w:rsid w:val="0057743F"/>
    <w:rsid w:val="00580D25"/>
    <w:rsid w:val="00583A5C"/>
    <w:rsid w:val="00584CE5"/>
    <w:rsid w:val="005857E5"/>
    <w:rsid w:val="00585B66"/>
    <w:rsid w:val="005866A1"/>
    <w:rsid w:val="00587FD9"/>
    <w:rsid w:val="00591195"/>
    <w:rsid w:val="00591393"/>
    <w:rsid w:val="005935C9"/>
    <w:rsid w:val="00594BCD"/>
    <w:rsid w:val="00596FF0"/>
    <w:rsid w:val="005976A6"/>
    <w:rsid w:val="00597849"/>
    <w:rsid w:val="00597F85"/>
    <w:rsid w:val="005A0D27"/>
    <w:rsid w:val="005A1295"/>
    <w:rsid w:val="005A1786"/>
    <w:rsid w:val="005A201F"/>
    <w:rsid w:val="005A22F1"/>
    <w:rsid w:val="005A261F"/>
    <w:rsid w:val="005A4260"/>
    <w:rsid w:val="005A4EB8"/>
    <w:rsid w:val="005A535D"/>
    <w:rsid w:val="005A5677"/>
    <w:rsid w:val="005A56C8"/>
    <w:rsid w:val="005A6174"/>
    <w:rsid w:val="005A6B8C"/>
    <w:rsid w:val="005A6F23"/>
    <w:rsid w:val="005A7190"/>
    <w:rsid w:val="005A7C37"/>
    <w:rsid w:val="005A7CC4"/>
    <w:rsid w:val="005A7D4E"/>
    <w:rsid w:val="005A7E3C"/>
    <w:rsid w:val="005B0CDF"/>
    <w:rsid w:val="005B2819"/>
    <w:rsid w:val="005B3F1B"/>
    <w:rsid w:val="005B4134"/>
    <w:rsid w:val="005B44A4"/>
    <w:rsid w:val="005B5757"/>
    <w:rsid w:val="005B5C2C"/>
    <w:rsid w:val="005B69BE"/>
    <w:rsid w:val="005C0BE3"/>
    <w:rsid w:val="005C300F"/>
    <w:rsid w:val="005C412C"/>
    <w:rsid w:val="005C62E9"/>
    <w:rsid w:val="005C7820"/>
    <w:rsid w:val="005C7EAB"/>
    <w:rsid w:val="005C7F32"/>
    <w:rsid w:val="005D187A"/>
    <w:rsid w:val="005D330E"/>
    <w:rsid w:val="005D3F00"/>
    <w:rsid w:val="005D49A2"/>
    <w:rsid w:val="005D4D9F"/>
    <w:rsid w:val="005D59F7"/>
    <w:rsid w:val="005D713A"/>
    <w:rsid w:val="005D7E30"/>
    <w:rsid w:val="005E0775"/>
    <w:rsid w:val="005E0951"/>
    <w:rsid w:val="005E0FCF"/>
    <w:rsid w:val="005E3608"/>
    <w:rsid w:val="005E5675"/>
    <w:rsid w:val="005E5AFD"/>
    <w:rsid w:val="005E63B7"/>
    <w:rsid w:val="005E6CCB"/>
    <w:rsid w:val="005E74B6"/>
    <w:rsid w:val="005E7AF9"/>
    <w:rsid w:val="005F0607"/>
    <w:rsid w:val="005F1683"/>
    <w:rsid w:val="005F185C"/>
    <w:rsid w:val="005F277A"/>
    <w:rsid w:val="005F2B7A"/>
    <w:rsid w:val="005F32EF"/>
    <w:rsid w:val="005F4240"/>
    <w:rsid w:val="005F627D"/>
    <w:rsid w:val="005F7240"/>
    <w:rsid w:val="005F7330"/>
    <w:rsid w:val="005F7E69"/>
    <w:rsid w:val="0060030D"/>
    <w:rsid w:val="00601EFC"/>
    <w:rsid w:val="006026AA"/>
    <w:rsid w:val="00602E80"/>
    <w:rsid w:val="00602FF8"/>
    <w:rsid w:val="0060409A"/>
    <w:rsid w:val="00605773"/>
    <w:rsid w:val="006058EE"/>
    <w:rsid w:val="0061001F"/>
    <w:rsid w:val="00612E33"/>
    <w:rsid w:val="006131C8"/>
    <w:rsid w:val="00614731"/>
    <w:rsid w:val="00614BA3"/>
    <w:rsid w:val="00615936"/>
    <w:rsid w:val="006171EC"/>
    <w:rsid w:val="006173D2"/>
    <w:rsid w:val="006173F9"/>
    <w:rsid w:val="00620523"/>
    <w:rsid w:val="00620E04"/>
    <w:rsid w:val="00621F9B"/>
    <w:rsid w:val="00622F9A"/>
    <w:rsid w:val="00624506"/>
    <w:rsid w:val="006250E1"/>
    <w:rsid w:val="00625AC4"/>
    <w:rsid w:val="00625BDA"/>
    <w:rsid w:val="00625EA3"/>
    <w:rsid w:val="00626503"/>
    <w:rsid w:val="00627AD4"/>
    <w:rsid w:val="00627D0F"/>
    <w:rsid w:val="00627FAC"/>
    <w:rsid w:val="006304E8"/>
    <w:rsid w:val="0063083D"/>
    <w:rsid w:val="006309A1"/>
    <w:rsid w:val="00631DA0"/>
    <w:rsid w:val="006328D1"/>
    <w:rsid w:val="006339EB"/>
    <w:rsid w:val="006359C4"/>
    <w:rsid w:val="00635B73"/>
    <w:rsid w:val="006360A6"/>
    <w:rsid w:val="006376E3"/>
    <w:rsid w:val="006379E4"/>
    <w:rsid w:val="00640860"/>
    <w:rsid w:val="0064091B"/>
    <w:rsid w:val="00641340"/>
    <w:rsid w:val="006431A3"/>
    <w:rsid w:val="00643E9D"/>
    <w:rsid w:val="00643EAD"/>
    <w:rsid w:val="0064436C"/>
    <w:rsid w:val="00644F8B"/>
    <w:rsid w:val="0064502C"/>
    <w:rsid w:val="0064538E"/>
    <w:rsid w:val="00645635"/>
    <w:rsid w:val="00645B85"/>
    <w:rsid w:val="00645C57"/>
    <w:rsid w:val="0065051B"/>
    <w:rsid w:val="00650DC0"/>
    <w:rsid w:val="00651667"/>
    <w:rsid w:val="00652371"/>
    <w:rsid w:val="0065276F"/>
    <w:rsid w:val="00653354"/>
    <w:rsid w:val="00655316"/>
    <w:rsid w:val="00656675"/>
    <w:rsid w:val="006567ED"/>
    <w:rsid w:val="006569C0"/>
    <w:rsid w:val="0065754F"/>
    <w:rsid w:val="006609D3"/>
    <w:rsid w:val="00661072"/>
    <w:rsid w:val="00661BB0"/>
    <w:rsid w:val="006631C6"/>
    <w:rsid w:val="00663587"/>
    <w:rsid w:val="0066382C"/>
    <w:rsid w:val="00664AFB"/>
    <w:rsid w:val="006651F2"/>
    <w:rsid w:val="00665C14"/>
    <w:rsid w:val="00667CD7"/>
    <w:rsid w:val="006702E6"/>
    <w:rsid w:val="00670A7E"/>
    <w:rsid w:val="00670B63"/>
    <w:rsid w:val="00670E90"/>
    <w:rsid w:val="0067149A"/>
    <w:rsid w:val="00671B35"/>
    <w:rsid w:val="0067205A"/>
    <w:rsid w:val="00672329"/>
    <w:rsid w:val="00672A26"/>
    <w:rsid w:val="00672EB2"/>
    <w:rsid w:val="00672FD4"/>
    <w:rsid w:val="006738CA"/>
    <w:rsid w:val="006750A8"/>
    <w:rsid w:val="00675DB4"/>
    <w:rsid w:val="006776CF"/>
    <w:rsid w:val="00680693"/>
    <w:rsid w:val="00680F29"/>
    <w:rsid w:val="00681D4F"/>
    <w:rsid w:val="006820F8"/>
    <w:rsid w:val="006822B8"/>
    <w:rsid w:val="00682574"/>
    <w:rsid w:val="006827FD"/>
    <w:rsid w:val="006831E3"/>
    <w:rsid w:val="00683559"/>
    <w:rsid w:val="00683D6F"/>
    <w:rsid w:val="0068462C"/>
    <w:rsid w:val="00684AC1"/>
    <w:rsid w:val="00684D31"/>
    <w:rsid w:val="00687618"/>
    <w:rsid w:val="00687DB2"/>
    <w:rsid w:val="00690AF1"/>
    <w:rsid w:val="00690BA5"/>
    <w:rsid w:val="00691B66"/>
    <w:rsid w:val="00691DBB"/>
    <w:rsid w:val="006924E6"/>
    <w:rsid w:val="00692515"/>
    <w:rsid w:val="00692517"/>
    <w:rsid w:val="00692CE3"/>
    <w:rsid w:val="00694B18"/>
    <w:rsid w:val="00696835"/>
    <w:rsid w:val="00697473"/>
    <w:rsid w:val="00697689"/>
    <w:rsid w:val="00697A56"/>
    <w:rsid w:val="006A1135"/>
    <w:rsid w:val="006A37B1"/>
    <w:rsid w:val="006A3A74"/>
    <w:rsid w:val="006A3ADE"/>
    <w:rsid w:val="006A430C"/>
    <w:rsid w:val="006A4B6F"/>
    <w:rsid w:val="006A4D97"/>
    <w:rsid w:val="006A5846"/>
    <w:rsid w:val="006A6218"/>
    <w:rsid w:val="006A7AAC"/>
    <w:rsid w:val="006B1499"/>
    <w:rsid w:val="006B2C5B"/>
    <w:rsid w:val="006B2EC7"/>
    <w:rsid w:val="006B3E8D"/>
    <w:rsid w:val="006B4D5E"/>
    <w:rsid w:val="006B4DFF"/>
    <w:rsid w:val="006B5305"/>
    <w:rsid w:val="006B5D1D"/>
    <w:rsid w:val="006B5F9A"/>
    <w:rsid w:val="006B6473"/>
    <w:rsid w:val="006B6A10"/>
    <w:rsid w:val="006C0D0B"/>
    <w:rsid w:val="006C116C"/>
    <w:rsid w:val="006C1454"/>
    <w:rsid w:val="006C1526"/>
    <w:rsid w:val="006C30EC"/>
    <w:rsid w:val="006C3A04"/>
    <w:rsid w:val="006C5E4C"/>
    <w:rsid w:val="006C6670"/>
    <w:rsid w:val="006C6900"/>
    <w:rsid w:val="006D172B"/>
    <w:rsid w:val="006D497E"/>
    <w:rsid w:val="006D5DD8"/>
    <w:rsid w:val="006D62C6"/>
    <w:rsid w:val="006D6FCC"/>
    <w:rsid w:val="006D70B6"/>
    <w:rsid w:val="006D72F3"/>
    <w:rsid w:val="006D78BD"/>
    <w:rsid w:val="006E0224"/>
    <w:rsid w:val="006E0ADF"/>
    <w:rsid w:val="006E197F"/>
    <w:rsid w:val="006E37B7"/>
    <w:rsid w:val="006E3A2A"/>
    <w:rsid w:val="006E3BCC"/>
    <w:rsid w:val="006E4213"/>
    <w:rsid w:val="006E5784"/>
    <w:rsid w:val="006E5CB6"/>
    <w:rsid w:val="006E61A0"/>
    <w:rsid w:val="006E7D9A"/>
    <w:rsid w:val="006F06A2"/>
    <w:rsid w:val="006F072F"/>
    <w:rsid w:val="006F1329"/>
    <w:rsid w:val="006F2A7D"/>
    <w:rsid w:val="006F3FBD"/>
    <w:rsid w:val="006F427D"/>
    <w:rsid w:val="006F482D"/>
    <w:rsid w:val="006F4C4D"/>
    <w:rsid w:val="006F4E5E"/>
    <w:rsid w:val="006F6497"/>
    <w:rsid w:val="006F650E"/>
    <w:rsid w:val="00700DF9"/>
    <w:rsid w:val="00702680"/>
    <w:rsid w:val="00702B25"/>
    <w:rsid w:val="00703C2A"/>
    <w:rsid w:val="007051D0"/>
    <w:rsid w:val="00705CC8"/>
    <w:rsid w:val="00705CCD"/>
    <w:rsid w:val="007066A7"/>
    <w:rsid w:val="00706AF1"/>
    <w:rsid w:val="0070716B"/>
    <w:rsid w:val="00707AA6"/>
    <w:rsid w:val="007103FB"/>
    <w:rsid w:val="00710515"/>
    <w:rsid w:val="00712006"/>
    <w:rsid w:val="00712A5C"/>
    <w:rsid w:val="00713179"/>
    <w:rsid w:val="00715C1E"/>
    <w:rsid w:val="00716137"/>
    <w:rsid w:val="0071682A"/>
    <w:rsid w:val="00716D57"/>
    <w:rsid w:val="00717D88"/>
    <w:rsid w:val="007205EE"/>
    <w:rsid w:val="00720E85"/>
    <w:rsid w:val="007212D0"/>
    <w:rsid w:val="00721919"/>
    <w:rsid w:val="00721E40"/>
    <w:rsid w:val="00722B45"/>
    <w:rsid w:val="007235B7"/>
    <w:rsid w:val="00725E6D"/>
    <w:rsid w:val="007276E8"/>
    <w:rsid w:val="007279DB"/>
    <w:rsid w:val="00731B93"/>
    <w:rsid w:val="007328B3"/>
    <w:rsid w:val="00732AE1"/>
    <w:rsid w:val="0073400F"/>
    <w:rsid w:val="00734633"/>
    <w:rsid w:val="00734656"/>
    <w:rsid w:val="00734A13"/>
    <w:rsid w:val="00734BC1"/>
    <w:rsid w:val="00734FC7"/>
    <w:rsid w:val="007355DF"/>
    <w:rsid w:val="00735818"/>
    <w:rsid w:val="00735C6C"/>
    <w:rsid w:val="00736B00"/>
    <w:rsid w:val="007378FD"/>
    <w:rsid w:val="0074005A"/>
    <w:rsid w:val="00741F42"/>
    <w:rsid w:val="00741FFD"/>
    <w:rsid w:val="00742536"/>
    <w:rsid w:val="007432F6"/>
    <w:rsid w:val="00743C5E"/>
    <w:rsid w:val="00743E56"/>
    <w:rsid w:val="00744E78"/>
    <w:rsid w:val="0074528A"/>
    <w:rsid w:val="007456A5"/>
    <w:rsid w:val="00745812"/>
    <w:rsid w:val="00746788"/>
    <w:rsid w:val="007474FA"/>
    <w:rsid w:val="00747577"/>
    <w:rsid w:val="007476C3"/>
    <w:rsid w:val="007504AB"/>
    <w:rsid w:val="00750DDB"/>
    <w:rsid w:val="0075506A"/>
    <w:rsid w:val="00756C08"/>
    <w:rsid w:val="00756E4A"/>
    <w:rsid w:val="00756E90"/>
    <w:rsid w:val="007579B9"/>
    <w:rsid w:val="007605B2"/>
    <w:rsid w:val="00761359"/>
    <w:rsid w:val="007629FB"/>
    <w:rsid w:val="0076473B"/>
    <w:rsid w:val="007658E8"/>
    <w:rsid w:val="00766035"/>
    <w:rsid w:val="00766047"/>
    <w:rsid w:val="007665CB"/>
    <w:rsid w:val="007665F0"/>
    <w:rsid w:val="00766947"/>
    <w:rsid w:val="007671FC"/>
    <w:rsid w:val="00767373"/>
    <w:rsid w:val="00770D96"/>
    <w:rsid w:val="00770FE1"/>
    <w:rsid w:val="007733AE"/>
    <w:rsid w:val="00773801"/>
    <w:rsid w:val="00774785"/>
    <w:rsid w:val="00775A11"/>
    <w:rsid w:val="00775D43"/>
    <w:rsid w:val="00780A07"/>
    <w:rsid w:val="00780AD7"/>
    <w:rsid w:val="0078130F"/>
    <w:rsid w:val="00781F32"/>
    <w:rsid w:val="00782567"/>
    <w:rsid w:val="007829A9"/>
    <w:rsid w:val="00782B65"/>
    <w:rsid w:val="00782C04"/>
    <w:rsid w:val="00782DD2"/>
    <w:rsid w:val="00783575"/>
    <w:rsid w:val="00783DBB"/>
    <w:rsid w:val="00787945"/>
    <w:rsid w:val="00787CEE"/>
    <w:rsid w:val="00787D80"/>
    <w:rsid w:val="00790557"/>
    <w:rsid w:val="0079260C"/>
    <w:rsid w:val="00793070"/>
    <w:rsid w:val="00794B9E"/>
    <w:rsid w:val="00794FF2"/>
    <w:rsid w:val="0079502E"/>
    <w:rsid w:val="00795163"/>
    <w:rsid w:val="00795C04"/>
    <w:rsid w:val="00797E48"/>
    <w:rsid w:val="007A1D6E"/>
    <w:rsid w:val="007A2405"/>
    <w:rsid w:val="007A2B4F"/>
    <w:rsid w:val="007A3F2B"/>
    <w:rsid w:val="007A4566"/>
    <w:rsid w:val="007A4A0C"/>
    <w:rsid w:val="007A4ABE"/>
    <w:rsid w:val="007A4DA3"/>
    <w:rsid w:val="007A7628"/>
    <w:rsid w:val="007A7822"/>
    <w:rsid w:val="007A7DB6"/>
    <w:rsid w:val="007B0285"/>
    <w:rsid w:val="007B043D"/>
    <w:rsid w:val="007B080D"/>
    <w:rsid w:val="007B1C7A"/>
    <w:rsid w:val="007B2C52"/>
    <w:rsid w:val="007B4AE5"/>
    <w:rsid w:val="007B4CB4"/>
    <w:rsid w:val="007B6E59"/>
    <w:rsid w:val="007C1598"/>
    <w:rsid w:val="007C20FA"/>
    <w:rsid w:val="007C2403"/>
    <w:rsid w:val="007C25CD"/>
    <w:rsid w:val="007C2F0E"/>
    <w:rsid w:val="007C3998"/>
    <w:rsid w:val="007C4F2A"/>
    <w:rsid w:val="007C52AE"/>
    <w:rsid w:val="007C5B56"/>
    <w:rsid w:val="007D00E6"/>
    <w:rsid w:val="007D02E4"/>
    <w:rsid w:val="007D08A2"/>
    <w:rsid w:val="007D0E37"/>
    <w:rsid w:val="007D2914"/>
    <w:rsid w:val="007D2A61"/>
    <w:rsid w:val="007D2E91"/>
    <w:rsid w:val="007D43C1"/>
    <w:rsid w:val="007D489B"/>
    <w:rsid w:val="007D5017"/>
    <w:rsid w:val="007D5651"/>
    <w:rsid w:val="007D6416"/>
    <w:rsid w:val="007D7554"/>
    <w:rsid w:val="007E015C"/>
    <w:rsid w:val="007E1256"/>
    <w:rsid w:val="007E1E06"/>
    <w:rsid w:val="007E2353"/>
    <w:rsid w:val="007E2C86"/>
    <w:rsid w:val="007E2DB5"/>
    <w:rsid w:val="007E2E7E"/>
    <w:rsid w:val="007E30F0"/>
    <w:rsid w:val="007E3DE0"/>
    <w:rsid w:val="007E444A"/>
    <w:rsid w:val="007E578E"/>
    <w:rsid w:val="007E5C9C"/>
    <w:rsid w:val="007E6AE6"/>
    <w:rsid w:val="007F08AB"/>
    <w:rsid w:val="007F175A"/>
    <w:rsid w:val="007F1BE5"/>
    <w:rsid w:val="007F22C7"/>
    <w:rsid w:val="007F246D"/>
    <w:rsid w:val="007F3F47"/>
    <w:rsid w:val="007F50C7"/>
    <w:rsid w:val="007F51D2"/>
    <w:rsid w:val="007F553A"/>
    <w:rsid w:val="00800DDF"/>
    <w:rsid w:val="0080147C"/>
    <w:rsid w:val="0080161E"/>
    <w:rsid w:val="00802533"/>
    <w:rsid w:val="00802F7C"/>
    <w:rsid w:val="00803FE2"/>
    <w:rsid w:val="00804402"/>
    <w:rsid w:val="00804A79"/>
    <w:rsid w:val="00804B9F"/>
    <w:rsid w:val="00806821"/>
    <w:rsid w:val="00806AC1"/>
    <w:rsid w:val="00806CF3"/>
    <w:rsid w:val="008072C4"/>
    <w:rsid w:val="00807CF3"/>
    <w:rsid w:val="00810987"/>
    <w:rsid w:val="008110D0"/>
    <w:rsid w:val="00811AB6"/>
    <w:rsid w:val="008133EF"/>
    <w:rsid w:val="00813AB6"/>
    <w:rsid w:val="00813E4E"/>
    <w:rsid w:val="0081440D"/>
    <w:rsid w:val="00814B8E"/>
    <w:rsid w:val="00815B6D"/>
    <w:rsid w:val="00816B06"/>
    <w:rsid w:val="00817500"/>
    <w:rsid w:val="00820043"/>
    <w:rsid w:val="00820B4B"/>
    <w:rsid w:val="00820BAF"/>
    <w:rsid w:val="00820FD3"/>
    <w:rsid w:val="0082176B"/>
    <w:rsid w:val="00821A35"/>
    <w:rsid w:val="00822AEF"/>
    <w:rsid w:val="00823984"/>
    <w:rsid w:val="00824858"/>
    <w:rsid w:val="00825197"/>
    <w:rsid w:val="00825E0B"/>
    <w:rsid w:val="00826D9D"/>
    <w:rsid w:val="008276E5"/>
    <w:rsid w:val="008305AE"/>
    <w:rsid w:val="00830760"/>
    <w:rsid w:val="008310BC"/>
    <w:rsid w:val="0083196D"/>
    <w:rsid w:val="00831ACE"/>
    <w:rsid w:val="00831F43"/>
    <w:rsid w:val="008331A7"/>
    <w:rsid w:val="008334EC"/>
    <w:rsid w:val="00833B7C"/>
    <w:rsid w:val="00833C15"/>
    <w:rsid w:val="008354B0"/>
    <w:rsid w:val="008358DC"/>
    <w:rsid w:val="00837360"/>
    <w:rsid w:val="00840A6E"/>
    <w:rsid w:val="008420FC"/>
    <w:rsid w:val="00842A9A"/>
    <w:rsid w:val="00843D65"/>
    <w:rsid w:val="00844E0E"/>
    <w:rsid w:val="008456E2"/>
    <w:rsid w:val="00845723"/>
    <w:rsid w:val="00845B8F"/>
    <w:rsid w:val="00846A6C"/>
    <w:rsid w:val="00847CF4"/>
    <w:rsid w:val="00847EAB"/>
    <w:rsid w:val="0085038B"/>
    <w:rsid w:val="00851D7F"/>
    <w:rsid w:val="00851DA9"/>
    <w:rsid w:val="00852D07"/>
    <w:rsid w:val="00853CDA"/>
    <w:rsid w:val="0085429E"/>
    <w:rsid w:val="00854341"/>
    <w:rsid w:val="00854604"/>
    <w:rsid w:val="00855039"/>
    <w:rsid w:val="0085664D"/>
    <w:rsid w:val="00861008"/>
    <w:rsid w:val="008610C4"/>
    <w:rsid w:val="00862AC1"/>
    <w:rsid w:val="008630D6"/>
    <w:rsid w:val="00863BBA"/>
    <w:rsid w:val="008644AD"/>
    <w:rsid w:val="00864673"/>
    <w:rsid w:val="00864793"/>
    <w:rsid w:val="00864DE1"/>
    <w:rsid w:val="0086631D"/>
    <w:rsid w:val="00866399"/>
    <w:rsid w:val="008666CB"/>
    <w:rsid w:val="00866801"/>
    <w:rsid w:val="00867237"/>
    <w:rsid w:val="00870F00"/>
    <w:rsid w:val="0087233A"/>
    <w:rsid w:val="00872963"/>
    <w:rsid w:val="00872999"/>
    <w:rsid w:val="00873588"/>
    <w:rsid w:val="00873B58"/>
    <w:rsid w:val="00873F7A"/>
    <w:rsid w:val="008741C0"/>
    <w:rsid w:val="00874624"/>
    <w:rsid w:val="0087576B"/>
    <w:rsid w:val="0087592E"/>
    <w:rsid w:val="008759EF"/>
    <w:rsid w:val="00875A4C"/>
    <w:rsid w:val="00875B1D"/>
    <w:rsid w:val="0087643A"/>
    <w:rsid w:val="00876839"/>
    <w:rsid w:val="00876F05"/>
    <w:rsid w:val="00882225"/>
    <w:rsid w:val="0088243E"/>
    <w:rsid w:val="008834B8"/>
    <w:rsid w:val="00883C02"/>
    <w:rsid w:val="0088471E"/>
    <w:rsid w:val="008853BD"/>
    <w:rsid w:val="00886304"/>
    <w:rsid w:val="00887078"/>
    <w:rsid w:val="0089053D"/>
    <w:rsid w:val="008906DB"/>
    <w:rsid w:val="00890B22"/>
    <w:rsid w:val="008914B6"/>
    <w:rsid w:val="00891613"/>
    <w:rsid w:val="00891907"/>
    <w:rsid w:val="008920B4"/>
    <w:rsid w:val="00892374"/>
    <w:rsid w:val="008926EC"/>
    <w:rsid w:val="008927C8"/>
    <w:rsid w:val="00892932"/>
    <w:rsid w:val="00892A57"/>
    <w:rsid w:val="00892F3C"/>
    <w:rsid w:val="00894210"/>
    <w:rsid w:val="00894B67"/>
    <w:rsid w:val="00894E77"/>
    <w:rsid w:val="0089560E"/>
    <w:rsid w:val="0089564A"/>
    <w:rsid w:val="00895BF9"/>
    <w:rsid w:val="00895CA1"/>
    <w:rsid w:val="008961BF"/>
    <w:rsid w:val="00897053"/>
    <w:rsid w:val="008A0D74"/>
    <w:rsid w:val="008A118B"/>
    <w:rsid w:val="008A15D5"/>
    <w:rsid w:val="008A285E"/>
    <w:rsid w:val="008A477A"/>
    <w:rsid w:val="008A52D3"/>
    <w:rsid w:val="008A5859"/>
    <w:rsid w:val="008A63DA"/>
    <w:rsid w:val="008A7165"/>
    <w:rsid w:val="008A7806"/>
    <w:rsid w:val="008A7FD9"/>
    <w:rsid w:val="008B0301"/>
    <w:rsid w:val="008B0406"/>
    <w:rsid w:val="008B0EA2"/>
    <w:rsid w:val="008B1A9A"/>
    <w:rsid w:val="008B325A"/>
    <w:rsid w:val="008B33C3"/>
    <w:rsid w:val="008B35ED"/>
    <w:rsid w:val="008B3B94"/>
    <w:rsid w:val="008B4004"/>
    <w:rsid w:val="008B456B"/>
    <w:rsid w:val="008B613A"/>
    <w:rsid w:val="008B6CB1"/>
    <w:rsid w:val="008B6D36"/>
    <w:rsid w:val="008B71FF"/>
    <w:rsid w:val="008C0374"/>
    <w:rsid w:val="008C0453"/>
    <w:rsid w:val="008C0522"/>
    <w:rsid w:val="008C10AF"/>
    <w:rsid w:val="008C2403"/>
    <w:rsid w:val="008C30F8"/>
    <w:rsid w:val="008C3561"/>
    <w:rsid w:val="008C376D"/>
    <w:rsid w:val="008C37BF"/>
    <w:rsid w:val="008C3A1E"/>
    <w:rsid w:val="008C3C88"/>
    <w:rsid w:val="008C47F7"/>
    <w:rsid w:val="008C6D1B"/>
    <w:rsid w:val="008C7230"/>
    <w:rsid w:val="008D2047"/>
    <w:rsid w:val="008D266D"/>
    <w:rsid w:val="008D3182"/>
    <w:rsid w:val="008D40DF"/>
    <w:rsid w:val="008D43B3"/>
    <w:rsid w:val="008D4C7F"/>
    <w:rsid w:val="008D4FA8"/>
    <w:rsid w:val="008D503E"/>
    <w:rsid w:val="008D57A5"/>
    <w:rsid w:val="008D5FE9"/>
    <w:rsid w:val="008D69EB"/>
    <w:rsid w:val="008D7429"/>
    <w:rsid w:val="008D7A67"/>
    <w:rsid w:val="008D7B09"/>
    <w:rsid w:val="008D7FD4"/>
    <w:rsid w:val="008E0BBD"/>
    <w:rsid w:val="008E0BD5"/>
    <w:rsid w:val="008E4C43"/>
    <w:rsid w:val="008E5280"/>
    <w:rsid w:val="008E58FC"/>
    <w:rsid w:val="008E6542"/>
    <w:rsid w:val="008E7978"/>
    <w:rsid w:val="008F00A8"/>
    <w:rsid w:val="008F0362"/>
    <w:rsid w:val="008F068C"/>
    <w:rsid w:val="008F17DA"/>
    <w:rsid w:val="008F1BC1"/>
    <w:rsid w:val="008F1EBA"/>
    <w:rsid w:val="008F3B8B"/>
    <w:rsid w:val="008F4F4A"/>
    <w:rsid w:val="008F5618"/>
    <w:rsid w:val="008F5ED6"/>
    <w:rsid w:val="008F6632"/>
    <w:rsid w:val="0090154F"/>
    <w:rsid w:val="00902DAF"/>
    <w:rsid w:val="00903340"/>
    <w:rsid w:val="00903864"/>
    <w:rsid w:val="0090465A"/>
    <w:rsid w:val="00905886"/>
    <w:rsid w:val="0090763F"/>
    <w:rsid w:val="00907B7A"/>
    <w:rsid w:val="00911341"/>
    <w:rsid w:val="00911F80"/>
    <w:rsid w:val="00912545"/>
    <w:rsid w:val="00912CC1"/>
    <w:rsid w:val="009137E3"/>
    <w:rsid w:val="00913CA2"/>
    <w:rsid w:val="00914B78"/>
    <w:rsid w:val="00915314"/>
    <w:rsid w:val="0091533D"/>
    <w:rsid w:val="0091680B"/>
    <w:rsid w:val="00916D79"/>
    <w:rsid w:val="009206E9"/>
    <w:rsid w:val="00920863"/>
    <w:rsid w:val="009219D5"/>
    <w:rsid w:val="00921AD5"/>
    <w:rsid w:val="0092260C"/>
    <w:rsid w:val="00922EEF"/>
    <w:rsid w:val="0092399A"/>
    <w:rsid w:val="009241E6"/>
    <w:rsid w:val="00925114"/>
    <w:rsid w:val="00925710"/>
    <w:rsid w:val="009278EF"/>
    <w:rsid w:val="00927926"/>
    <w:rsid w:val="009316AA"/>
    <w:rsid w:val="00931849"/>
    <w:rsid w:val="00932387"/>
    <w:rsid w:val="00933A11"/>
    <w:rsid w:val="00933EA4"/>
    <w:rsid w:val="00934063"/>
    <w:rsid w:val="009344FF"/>
    <w:rsid w:val="00934EFC"/>
    <w:rsid w:val="009354B0"/>
    <w:rsid w:val="00936A18"/>
    <w:rsid w:val="009412C0"/>
    <w:rsid w:val="0094130C"/>
    <w:rsid w:val="00941C9E"/>
    <w:rsid w:val="0094218A"/>
    <w:rsid w:val="00942A10"/>
    <w:rsid w:val="00942C79"/>
    <w:rsid w:val="009430EA"/>
    <w:rsid w:val="00943CC7"/>
    <w:rsid w:val="00944E10"/>
    <w:rsid w:val="00945743"/>
    <w:rsid w:val="009460F9"/>
    <w:rsid w:val="009470AC"/>
    <w:rsid w:val="00947389"/>
    <w:rsid w:val="00947732"/>
    <w:rsid w:val="00947CE5"/>
    <w:rsid w:val="009501B4"/>
    <w:rsid w:val="009525D7"/>
    <w:rsid w:val="009534F4"/>
    <w:rsid w:val="009534F7"/>
    <w:rsid w:val="00953676"/>
    <w:rsid w:val="00954277"/>
    <w:rsid w:val="0095636D"/>
    <w:rsid w:val="00956E92"/>
    <w:rsid w:val="00960899"/>
    <w:rsid w:val="00961657"/>
    <w:rsid w:val="009618B7"/>
    <w:rsid w:val="00962874"/>
    <w:rsid w:val="009645B9"/>
    <w:rsid w:val="00964AF1"/>
    <w:rsid w:val="0096711C"/>
    <w:rsid w:val="00967777"/>
    <w:rsid w:val="009677F2"/>
    <w:rsid w:val="00967953"/>
    <w:rsid w:val="00970678"/>
    <w:rsid w:val="009708F8"/>
    <w:rsid w:val="0097096C"/>
    <w:rsid w:val="00970D53"/>
    <w:rsid w:val="00970E19"/>
    <w:rsid w:val="00971EBE"/>
    <w:rsid w:val="00972AEC"/>
    <w:rsid w:val="00972D9A"/>
    <w:rsid w:val="00973C23"/>
    <w:rsid w:val="009751AD"/>
    <w:rsid w:val="00975942"/>
    <w:rsid w:val="00977166"/>
    <w:rsid w:val="00980B9A"/>
    <w:rsid w:val="0098177D"/>
    <w:rsid w:val="00982A0B"/>
    <w:rsid w:val="00983B20"/>
    <w:rsid w:val="009840A8"/>
    <w:rsid w:val="00984343"/>
    <w:rsid w:val="0098589F"/>
    <w:rsid w:val="00986185"/>
    <w:rsid w:val="00986905"/>
    <w:rsid w:val="00986D1B"/>
    <w:rsid w:val="0099092D"/>
    <w:rsid w:val="00991CEF"/>
    <w:rsid w:val="00991EB5"/>
    <w:rsid w:val="00992CAB"/>
    <w:rsid w:val="009932ED"/>
    <w:rsid w:val="00993938"/>
    <w:rsid w:val="009948FF"/>
    <w:rsid w:val="009959AD"/>
    <w:rsid w:val="00995E7E"/>
    <w:rsid w:val="009963B2"/>
    <w:rsid w:val="00996512"/>
    <w:rsid w:val="009A06B6"/>
    <w:rsid w:val="009A1266"/>
    <w:rsid w:val="009A18AE"/>
    <w:rsid w:val="009A1C31"/>
    <w:rsid w:val="009A35CD"/>
    <w:rsid w:val="009A370F"/>
    <w:rsid w:val="009A4177"/>
    <w:rsid w:val="009A47BE"/>
    <w:rsid w:val="009A4D4B"/>
    <w:rsid w:val="009A5072"/>
    <w:rsid w:val="009A5335"/>
    <w:rsid w:val="009A562E"/>
    <w:rsid w:val="009A564B"/>
    <w:rsid w:val="009A6D43"/>
    <w:rsid w:val="009A79D5"/>
    <w:rsid w:val="009A7DBD"/>
    <w:rsid w:val="009B0FC0"/>
    <w:rsid w:val="009B22ED"/>
    <w:rsid w:val="009B24DE"/>
    <w:rsid w:val="009B2CE3"/>
    <w:rsid w:val="009B30B7"/>
    <w:rsid w:val="009B4268"/>
    <w:rsid w:val="009B4375"/>
    <w:rsid w:val="009B5AA4"/>
    <w:rsid w:val="009B701C"/>
    <w:rsid w:val="009B7586"/>
    <w:rsid w:val="009C0665"/>
    <w:rsid w:val="009C0F37"/>
    <w:rsid w:val="009C162B"/>
    <w:rsid w:val="009C176D"/>
    <w:rsid w:val="009C1BA8"/>
    <w:rsid w:val="009C241F"/>
    <w:rsid w:val="009C2533"/>
    <w:rsid w:val="009C334C"/>
    <w:rsid w:val="009C4CD7"/>
    <w:rsid w:val="009C625E"/>
    <w:rsid w:val="009C62CB"/>
    <w:rsid w:val="009C661D"/>
    <w:rsid w:val="009C66A0"/>
    <w:rsid w:val="009C7906"/>
    <w:rsid w:val="009C7A1B"/>
    <w:rsid w:val="009D1244"/>
    <w:rsid w:val="009D189C"/>
    <w:rsid w:val="009D3343"/>
    <w:rsid w:val="009D3865"/>
    <w:rsid w:val="009D3B85"/>
    <w:rsid w:val="009D3CEC"/>
    <w:rsid w:val="009D4740"/>
    <w:rsid w:val="009D63F9"/>
    <w:rsid w:val="009D6865"/>
    <w:rsid w:val="009D79B5"/>
    <w:rsid w:val="009E0325"/>
    <w:rsid w:val="009E0687"/>
    <w:rsid w:val="009E0CDA"/>
    <w:rsid w:val="009E24F0"/>
    <w:rsid w:val="009E2514"/>
    <w:rsid w:val="009E2EFE"/>
    <w:rsid w:val="009E311B"/>
    <w:rsid w:val="009E343C"/>
    <w:rsid w:val="009E3786"/>
    <w:rsid w:val="009E4878"/>
    <w:rsid w:val="009E5444"/>
    <w:rsid w:val="009E553D"/>
    <w:rsid w:val="009E5566"/>
    <w:rsid w:val="009E556E"/>
    <w:rsid w:val="009E5BEA"/>
    <w:rsid w:val="009E69B8"/>
    <w:rsid w:val="009E715C"/>
    <w:rsid w:val="009E746B"/>
    <w:rsid w:val="009F0746"/>
    <w:rsid w:val="009F0F19"/>
    <w:rsid w:val="009F12D9"/>
    <w:rsid w:val="009F1610"/>
    <w:rsid w:val="009F188E"/>
    <w:rsid w:val="009F1ADD"/>
    <w:rsid w:val="009F2368"/>
    <w:rsid w:val="009F2EB6"/>
    <w:rsid w:val="009F32ED"/>
    <w:rsid w:val="009F3531"/>
    <w:rsid w:val="009F3DD7"/>
    <w:rsid w:val="009F5528"/>
    <w:rsid w:val="009F5E48"/>
    <w:rsid w:val="009F7FC0"/>
    <w:rsid w:val="00A00761"/>
    <w:rsid w:val="00A02375"/>
    <w:rsid w:val="00A026AA"/>
    <w:rsid w:val="00A02B9A"/>
    <w:rsid w:val="00A02D62"/>
    <w:rsid w:val="00A04582"/>
    <w:rsid w:val="00A05C8A"/>
    <w:rsid w:val="00A079D3"/>
    <w:rsid w:val="00A07E4B"/>
    <w:rsid w:val="00A07E5B"/>
    <w:rsid w:val="00A10770"/>
    <w:rsid w:val="00A10CB8"/>
    <w:rsid w:val="00A10D9B"/>
    <w:rsid w:val="00A116C6"/>
    <w:rsid w:val="00A1288D"/>
    <w:rsid w:val="00A12ACC"/>
    <w:rsid w:val="00A132F9"/>
    <w:rsid w:val="00A147AF"/>
    <w:rsid w:val="00A1494D"/>
    <w:rsid w:val="00A15455"/>
    <w:rsid w:val="00A15552"/>
    <w:rsid w:val="00A15961"/>
    <w:rsid w:val="00A17532"/>
    <w:rsid w:val="00A20ED0"/>
    <w:rsid w:val="00A22EF8"/>
    <w:rsid w:val="00A230FE"/>
    <w:rsid w:val="00A231A8"/>
    <w:rsid w:val="00A23381"/>
    <w:rsid w:val="00A25E4C"/>
    <w:rsid w:val="00A263AC"/>
    <w:rsid w:val="00A270F2"/>
    <w:rsid w:val="00A30984"/>
    <w:rsid w:val="00A30B1C"/>
    <w:rsid w:val="00A316E9"/>
    <w:rsid w:val="00A31A7A"/>
    <w:rsid w:val="00A31CE9"/>
    <w:rsid w:val="00A31FBC"/>
    <w:rsid w:val="00A32092"/>
    <w:rsid w:val="00A33137"/>
    <w:rsid w:val="00A333F9"/>
    <w:rsid w:val="00A33CE1"/>
    <w:rsid w:val="00A347CC"/>
    <w:rsid w:val="00A35182"/>
    <w:rsid w:val="00A36084"/>
    <w:rsid w:val="00A3710A"/>
    <w:rsid w:val="00A37DFD"/>
    <w:rsid w:val="00A37E8D"/>
    <w:rsid w:val="00A40447"/>
    <w:rsid w:val="00A407BD"/>
    <w:rsid w:val="00A40B47"/>
    <w:rsid w:val="00A41442"/>
    <w:rsid w:val="00A414F6"/>
    <w:rsid w:val="00A4165F"/>
    <w:rsid w:val="00A41733"/>
    <w:rsid w:val="00A42CCD"/>
    <w:rsid w:val="00A42E7D"/>
    <w:rsid w:val="00A43C0B"/>
    <w:rsid w:val="00A43C9D"/>
    <w:rsid w:val="00A44020"/>
    <w:rsid w:val="00A446AD"/>
    <w:rsid w:val="00A446C3"/>
    <w:rsid w:val="00A449DA"/>
    <w:rsid w:val="00A44EF1"/>
    <w:rsid w:val="00A4539A"/>
    <w:rsid w:val="00A47C27"/>
    <w:rsid w:val="00A503B1"/>
    <w:rsid w:val="00A51C51"/>
    <w:rsid w:val="00A52068"/>
    <w:rsid w:val="00A528DF"/>
    <w:rsid w:val="00A53AEC"/>
    <w:rsid w:val="00A5526F"/>
    <w:rsid w:val="00A569B0"/>
    <w:rsid w:val="00A577E6"/>
    <w:rsid w:val="00A604F3"/>
    <w:rsid w:val="00A605B7"/>
    <w:rsid w:val="00A60824"/>
    <w:rsid w:val="00A625E8"/>
    <w:rsid w:val="00A629F9"/>
    <w:rsid w:val="00A62F33"/>
    <w:rsid w:val="00A63038"/>
    <w:rsid w:val="00A63AD2"/>
    <w:rsid w:val="00A66651"/>
    <w:rsid w:val="00A66787"/>
    <w:rsid w:val="00A66F41"/>
    <w:rsid w:val="00A67F6D"/>
    <w:rsid w:val="00A70038"/>
    <w:rsid w:val="00A73185"/>
    <w:rsid w:val="00A7359D"/>
    <w:rsid w:val="00A73752"/>
    <w:rsid w:val="00A7412F"/>
    <w:rsid w:val="00A745FA"/>
    <w:rsid w:val="00A7537D"/>
    <w:rsid w:val="00A7599B"/>
    <w:rsid w:val="00A779FB"/>
    <w:rsid w:val="00A80275"/>
    <w:rsid w:val="00A808D6"/>
    <w:rsid w:val="00A80B9C"/>
    <w:rsid w:val="00A811B3"/>
    <w:rsid w:val="00A81E08"/>
    <w:rsid w:val="00A82348"/>
    <w:rsid w:val="00A8252F"/>
    <w:rsid w:val="00A82B6F"/>
    <w:rsid w:val="00A850E1"/>
    <w:rsid w:val="00A85174"/>
    <w:rsid w:val="00A85D41"/>
    <w:rsid w:val="00A86009"/>
    <w:rsid w:val="00A900EB"/>
    <w:rsid w:val="00A90812"/>
    <w:rsid w:val="00A917F8"/>
    <w:rsid w:val="00A92EDA"/>
    <w:rsid w:val="00A93AD7"/>
    <w:rsid w:val="00A93C52"/>
    <w:rsid w:val="00A9480C"/>
    <w:rsid w:val="00A948B0"/>
    <w:rsid w:val="00A94E3B"/>
    <w:rsid w:val="00A95DD2"/>
    <w:rsid w:val="00AA0F38"/>
    <w:rsid w:val="00AA13E3"/>
    <w:rsid w:val="00AA1B46"/>
    <w:rsid w:val="00AA1B64"/>
    <w:rsid w:val="00AA5C9C"/>
    <w:rsid w:val="00AA6A23"/>
    <w:rsid w:val="00AA6BFD"/>
    <w:rsid w:val="00AA6C3A"/>
    <w:rsid w:val="00AA6EBD"/>
    <w:rsid w:val="00AA7B46"/>
    <w:rsid w:val="00AB09A8"/>
    <w:rsid w:val="00AB1BA1"/>
    <w:rsid w:val="00AB208F"/>
    <w:rsid w:val="00AB21DA"/>
    <w:rsid w:val="00AB2DB5"/>
    <w:rsid w:val="00AB3EA8"/>
    <w:rsid w:val="00AB5E0F"/>
    <w:rsid w:val="00AB64DD"/>
    <w:rsid w:val="00AB713C"/>
    <w:rsid w:val="00AC08C3"/>
    <w:rsid w:val="00AC0C75"/>
    <w:rsid w:val="00AC1A0B"/>
    <w:rsid w:val="00AC1E5E"/>
    <w:rsid w:val="00AC2A05"/>
    <w:rsid w:val="00AC3075"/>
    <w:rsid w:val="00AC5718"/>
    <w:rsid w:val="00AC5F42"/>
    <w:rsid w:val="00AC60C6"/>
    <w:rsid w:val="00AC628F"/>
    <w:rsid w:val="00AC6648"/>
    <w:rsid w:val="00AC6C46"/>
    <w:rsid w:val="00AC7414"/>
    <w:rsid w:val="00AD12F0"/>
    <w:rsid w:val="00AD19DD"/>
    <w:rsid w:val="00AD202E"/>
    <w:rsid w:val="00AD3C17"/>
    <w:rsid w:val="00AD40F4"/>
    <w:rsid w:val="00AD443F"/>
    <w:rsid w:val="00AD4B5F"/>
    <w:rsid w:val="00AD5BE9"/>
    <w:rsid w:val="00AD5E37"/>
    <w:rsid w:val="00AD7327"/>
    <w:rsid w:val="00AD7516"/>
    <w:rsid w:val="00AE0F03"/>
    <w:rsid w:val="00AE1FD2"/>
    <w:rsid w:val="00AE28B3"/>
    <w:rsid w:val="00AE3719"/>
    <w:rsid w:val="00AE430D"/>
    <w:rsid w:val="00AE4B7D"/>
    <w:rsid w:val="00AE4E3A"/>
    <w:rsid w:val="00AE6731"/>
    <w:rsid w:val="00AF001D"/>
    <w:rsid w:val="00AF4696"/>
    <w:rsid w:val="00AF5492"/>
    <w:rsid w:val="00AF5D81"/>
    <w:rsid w:val="00AF7BD6"/>
    <w:rsid w:val="00AF7F8F"/>
    <w:rsid w:val="00B0038C"/>
    <w:rsid w:val="00B00584"/>
    <w:rsid w:val="00B00B9B"/>
    <w:rsid w:val="00B00F42"/>
    <w:rsid w:val="00B02228"/>
    <w:rsid w:val="00B02520"/>
    <w:rsid w:val="00B02EBD"/>
    <w:rsid w:val="00B037F5"/>
    <w:rsid w:val="00B04886"/>
    <w:rsid w:val="00B067A9"/>
    <w:rsid w:val="00B07007"/>
    <w:rsid w:val="00B07CC9"/>
    <w:rsid w:val="00B10446"/>
    <w:rsid w:val="00B1080F"/>
    <w:rsid w:val="00B119CF"/>
    <w:rsid w:val="00B122F0"/>
    <w:rsid w:val="00B126DC"/>
    <w:rsid w:val="00B1271C"/>
    <w:rsid w:val="00B137CD"/>
    <w:rsid w:val="00B13D29"/>
    <w:rsid w:val="00B15AAA"/>
    <w:rsid w:val="00B165B1"/>
    <w:rsid w:val="00B17DBE"/>
    <w:rsid w:val="00B20376"/>
    <w:rsid w:val="00B21473"/>
    <w:rsid w:val="00B220B5"/>
    <w:rsid w:val="00B2213A"/>
    <w:rsid w:val="00B22521"/>
    <w:rsid w:val="00B22A48"/>
    <w:rsid w:val="00B238FD"/>
    <w:rsid w:val="00B24E8B"/>
    <w:rsid w:val="00B26928"/>
    <w:rsid w:val="00B27865"/>
    <w:rsid w:val="00B30C35"/>
    <w:rsid w:val="00B3236F"/>
    <w:rsid w:val="00B33046"/>
    <w:rsid w:val="00B33F94"/>
    <w:rsid w:val="00B34475"/>
    <w:rsid w:val="00B34D1B"/>
    <w:rsid w:val="00B34F54"/>
    <w:rsid w:val="00B3513D"/>
    <w:rsid w:val="00B35E0B"/>
    <w:rsid w:val="00B4072E"/>
    <w:rsid w:val="00B41338"/>
    <w:rsid w:val="00B41524"/>
    <w:rsid w:val="00B44673"/>
    <w:rsid w:val="00B45F5E"/>
    <w:rsid w:val="00B464CD"/>
    <w:rsid w:val="00B466D7"/>
    <w:rsid w:val="00B46898"/>
    <w:rsid w:val="00B46CC5"/>
    <w:rsid w:val="00B50716"/>
    <w:rsid w:val="00B50D86"/>
    <w:rsid w:val="00B5284A"/>
    <w:rsid w:val="00B52B41"/>
    <w:rsid w:val="00B5340D"/>
    <w:rsid w:val="00B5350C"/>
    <w:rsid w:val="00B53720"/>
    <w:rsid w:val="00B551F6"/>
    <w:rsid w:val="00B55900"/>
    <w:rsid w:val="00B55EEF"/>
    <w:rsid w:val="00B57A7B"/>
    <w:rsid w:val="00B57BAA"/>
    <w:rsid w:val="00B6151C"/>
    <w:rsid w:val="00B61C21"/>
    <w:rsid w:val="00B621F4"/>
    <w:rsid w:val="00B62536"/>
    <w:rsid w:val="00B637C4"/>
    <w:rsid w:val="00B64103"/>
    <w:rsid w:val="00B64289"/>
    <w:rsid w:val="00B663F9"/>
    <w:rsid w:val="00B66501"/>
    <w:rsid w:val="00B66B3B"/>
    <w:rsid w:val="00B66F7F"/>
    <w:rsid w:val="00B67464"/>
    <w:rsid w:val="00B678E5"/>
    <w:rsid w:val="00B7114D"/>
    <w:rsid w:val="00B727A3"/>
    <w:rsid w:val="00B72D9F"/>
    <w:rsid w:val="00B73528"/>
    <w:rsid w:val="00B74955"/>
    <w:rsid w:val="00B768CF"/>
    <w:rsid w:val="00B812FE"/>
    <w:rsid w:val="00B81320"/>
    <w:rsid w:val="00B8190F"/>
    <w:rsid w:val="00B8227F"/>
    <w:rsid w:val="00B82838"/>
    <w:rsid w:val="00B83740"/>
    <w:rsid w:val="00B84382"/>
    <w:rsid w:val="00B850FB"/>
    <w:rsid w:val="00B8598A"/>
    <w:rsid w:val="00B860AD"/>
    <w:rsid w:val="00B86125"/>
    <w:rsid w:val="00B86683"/>
    <w:rsid w:val="00B87397"/>
    <w:rsid w:val="00B905B9"/>
    <w:rsid w:val="00B906BC"/>
    <w:rsid w:val="00B91220"/>
    <w:rsid w:val="00B922C7"/>
    <w:rsid w:val="00B92FEF"/>
    <w:rsid w:val="00B935EC"/>
    <w:rsid w:val="00B95366"/>
    <w:rsid w:val="00B95D3E"/>
    <w:rsid w:val="00B97DF9"/>
    <w:rsid w:val="00BA0AB1"/>
    <w:rsid w:val="00BA0D44"/>
    <w:rsid w:val="00BA16F7"/>
    <w:rsid w:val="00BA177C"/>
    <w:rsid w:val="00BA22F8"/>
    <w:rsid w:val="00BA28BF"/>
    <w:rsid w:val="00BA2DEA"/>
    <w:rsid w:val="00BA41DF"/>
    <w:rsid w:val="00BA48FF"/>
    <w:rsid w:val="00BA532F"/>
    <w:rsid w:val="00BA5BAB"/>
    <w:rsid w:val="00BA729B"/>
    <w:rsid w:val="00BA74D0"/>
    <w:rsid w:val="00BA7EB1"/>
    <w:rsid w:val="00BB0034"/>
    <w:rsid w:val="00BB1299"/>
    <w:rsid w:val="00BB15C6"/>
    <w:rsid w:val="00BB2341"/>
    <w:rsid w:val="00BB2680"/>
    <w:rsid w:val="00BB472B"/>
    <w:rsid w:val="00BB4984"/>
    <w:rsid w:val="00BB56A2"/>
    <w:rsid w:val="00BB617E"/>
    <w:rsid w:val="00BC023D"/>
    <w:rsid w:val="00BC0A00"/>
    <w:rsid w:val="00BC1981"/>
    <w:rsid w:val="00BC2563"/>
    <w:rsid w:val="00BC296A"/>
    <w:rsid w:val="00BC346E"/>
    <w:rsid w:val="00BC4D3B"/>
    <w:rsid w:val="00BC4FC6"/>
    <w:rsid w:val="00BC6672"/>
    <w:rsid w:val="00BC6E50"/>
    <w:rsid w:val="00BC71BA"/>
    <w:rsid w:val="00BC7315"/>
    <w:rsid w:val="00BD297E"/>
    <w:rsid w:val="00BD2EC2"/>
    <w:rsid w:val="00BD36D6"/>
    <w:rsid w:val="00BD4109"/>
    <w:rsid w:val="00BD46F6"/>
    <w:rsid w:val="00BD51B7"/>
    <w:rsid w:val="00BD54A5"/>
    <w:rsid w:val="00BD5A61"/>
    <w:rsid w:val="00BD60A7"/>
    <w:rsid w:val="00BD6415"/>
    <w:rsid w:val="00BD7456"/>
    <w:rsid w:val="00BD78BA"/>
    <w:rsid w:val="00BE07FF"/>
    <w:rsid w:val="00BE1E21"/>
    <w:rsid w:val="00BE22CB"/>
    <w:rsid w:val="00BE2DC4"/>
    <w:rsid w:val="00BE4A75"/>
    <w:rsid w:val="00BE5D49"/>
    <w:rsid w:val="00BE69CE"/>
    <w:rsid w:val="00BE76F7"/>
    <w:rsid w:val="00BF0B90"/>
    <w:rsid w:val="00BF0ED4"/>
    <w:rsid w:val="00BF14E7"/>
    <w:rsid w:val="00BF30AF"/>
    <w:rsid w:val="00BF3BD2"/>
    <w:rsid w:val="00BF46D8"/>
    <w:rsid w:val="00BF5BD9"/>
    <w:rsid w:val="00BF60DD"/>
    <w:rsid w:val="00BF69E4"/>
    <w:rsid w:val="00BF6F59"/>
    <w:rsid w:val="00BF710D"/>
    <w:rsid w:val="00BF7FA7"/>
    <w:rsid w:val="00C01F6C"/>
    <w:rsid w:val="00C02F45"/>
    <w:rsid w:val="00C04BED"/>
    <w:rsid w:val="00C06451"/>
    <w:rsid w:val="00C069B4"/>
    <w:rsid w:val="00C10743"/>
    <w:rsid w:val="00C10B6B"/>
    <w:rsid w:val="00C10BBD"/>
    <w:rsid w:val="00C11271"/>
    <w:rsid w:val="00C11A0D"/>
    <w:rsid w:val="00C11AD1"/>
    <w:rsid w:val="00C12925"/>
    <w:rsid w:val="00C14AE9"/>
    <w:rsid w:val="00C16104"/>
    <w:rsid w:val="00C1623B"/>
    <w:rsid w:val="00C16984"/>
    <w:rsid w:val="00C16B09"/>
    <w:rsid w:val="00C17CC0"/>
    <w:rsid w:val="00C20022"/>
    <w:rsid w:val="00C2131E"/>
    <w:rsid w:val="00C233DC"/>
    <w:rsid w:val="00C24A12"/>
    <w:rsid w:val="00C25930"/>
    <w:rsid w:val="00C26B90"/>
    <w:rsid w:val="00C26C51"/>
    <w:rsid w:val="00C30411"/>
    <w:rsid w:val="00C3060A"/>
    <w:rsid w:val="00C3311D"/>
    <w:rsid w:val="00C336DB"/>
    <w:rsid w:val="00C33F0F"/>
    <w:rsid w:val="00C35D2E"/>
    <w:rsid w:val="00C35D8F"/>
    <w:rsid w:val="00C3645E"/>
    <w:rsid w:val="00C4033A"/>
    <w:rsid w:val="00C40DCC"/>
    <w:rsid w:val="00C41159"/>
    <w:rsid w:val="00C42CAB"/>
    <w:rsid w:val="00C43583"/>
    <w:rsid w:val="00C43994"/>
    <w:rsid w:val="00C4440D"/>
    <w:rsid w:val="00C445FB"/>
    <w:rsid w:val="00C475D2"/>
    <w:rsid w:val="00C5050A"/>
    <w:rsid w:val="00C51F8D"/>
    <w:rsid w:val="00C52420"/>
    <w:rsid w:val="00C53B59"/>
    <w:rsid w:val="00C556A3"/>
    <w:rsid w:val="00C558EC"/>
    <w:rsid w:val="00C568BC"/>
    <w:rsid w:val="00C56985"/>
    <w:rsid w:val="00C5739C"/>
    <w:rsid w:val="00C57A5C"/>
    <w:rsid w:val="00C61A5A"/>
    <w:rsid w:val="00C61BD2"/>
    <w:rsid w:val="00C61E64"/>
    <w:rsid w:val="00C6270B"/>
    <w:rsid w:val="00C645CD"/>
    <w:rsid w:val="00C648EB"/>
    <w:rsid w:val="00C64C2F"/>
    <w:rsid w:val="00C651B4"/>
    <w:rsid w:val="00C66688"/>
    <w:rsid w:val="00C66916"/>
    <w:rsid w:val="00C66CB8"/>
    <w:rsid w:val="00C67BFF"/>
    <w:rsid w:val="00C70221"/>
    <w:rsid w:val="00C71A66"/>
    <w:rsid w:val="00C71FE4"/>
    <w:rsid w:val="00C7201B"/>
    <w:rsid w:val="00C73D92"/>
    <w:rsid w:val="00C74701"/>
    <w:rsid w:val="00C75271"/>
    <w:rsid w:val="00C756DC"/>
    <w:rsid w:val="00C75C87"/>
    <w:rsid w:val="00C77BE7"/>
    <w:rsid w:val="00C805B6"/>
    <w:rsid w:val="00C807E4"/>
    <w:rsid w:val="00C81461"/>
    <w:rsid w:val="00C81FE0"/>
    <w:rsid w:val="00C82578"/>
    <w:rsid w:val="00C8383A"/>
    <w:rsid w:val="00C83B87"/>
    <w:rsid w:val="00C84056"/>
    <w:rsid w:val="00C84236"/>
    <w:rsid w:val="00C84682"/>
    <w:rsid w:val="00C84F2B"/>
    <w:rsid w:val="00C86C93"/>
    <w:rsid w:val="00C904C3"/>
    <w:rsid w:val="00C90FD1"/>
    <w:rsid w:val="00C933E1"/>
    <w:rsid w:val="00C941E5"/>
    <w:rsid w:val="00C95688"/>
    <w:rsid w:val="00C95B06"/>
    <w:rsid w:val="00C965BC"/>
    <w:rsid w:val="00C97FA9"/>
    <w:rsid w:val="00CA17FE"/>
    <w:rsid w:val="00CA2B8A"/>
    <w:rsid w:val="00CA3254"/>
    <w:rsid w:val="00CA6482"/>
    <w:rsid w:val="00CA79C9"/>
    <w:rsid w:val="00CA7A6F"/>
    <w:rsid w:val="00CB0D58"/>
    <w:rsid w:val="00CB1E39"/>
    <w:rsid w:val="00CB2133"/>
    <w:rsid w:val="00CB213D"/>
    <w:rsid w:val="00CB2A6C"/>
    <w:rsid w:val="00CB2FA0"/>
    <w:rsid w:val="00CB466C"/>
    <w:rsid w:val="00CB4813"/>
    <w:rsid w:val="00CB4E82"/>
    <w:rsid w:val="00CB6BBB"/>
    <w:rsid w:val="00CB7B42"/>
    <w:rsid w:val="00CC1F57"/>
    <w:rsid w:val="00CC2291"/>
    <w:rsid w:val="00CC2A07"/>
    <w:rsid w:val="00CC2C33"/>
    <w:rsid w:val="00CC2D8B"/>
    <w:rsid w:val="00CC34E8"/>
    <w:rsid w:val="00CC36CE"/>
    <w:rsid w:val="00CC3A94"/>
    <w:rsid w:val="00CC3DF6"/>
    <w:rsid w:val="00CC4129"/>
    <w:rsid w:val="00CC4A61"/>
    <w:rsid w:val="00CC5163"/>
    <w:rsid w:val="00CC70C8"/>
    <w:rsid w:val="00CC7413"/>
    <w:rsid w:val="00CC7EFE"/>
    <w:rsid w:val="00CD0ED1"/>
    <w:rsid w:val="00CD0F95"/>
    <w:rsid w:val="00CD138F"/>
    <w:rsid w:val="00CD2243"/>
    <w:rsid w:val="00CD393F"/>
    <w:rsid w:val="00CD3A8B"/>
    <w:rsid w:val="00CD475F"/>
    <w:rsid w:val="00CD4D59"/>
    <w:rsid w:val="00CD51E6"/>
    <w:rsid w:val="00CD64FB"/>
    <w:rsid w:val="00CD667D"/>
    <w:rsid w:val="00CD6CA6"/>
    <w:rsid w:val="00CD7A80"/>
    <w:rsid w:val="00CD7CE1"/>
    <w:rsid w:val="00CE129B"/>
    <w:rsid w:val="00CE146C"/>
    <w:rsid w:val="00CE154B"/>
    <w:rsid w:val="00CE2112"/>
    <w:rsid w:val="00CE329F"/>
    <w:rsid w:val="00CE32DD"/>
    <w:rsid w:val="00CE467F"/>
    <w:rsid w:val="00CE47CB"/>
    <w:rsid w:val="00CE4E1E"/>
    <w:rsid w:val="00CE5794"/>
    <w:rsid w:val="00CE64B1"/>
    <w:rsid w:val="00CE67FF"/>
    <w:rsid w:val="00CE6AB3"/>
    <w:rsid w:val="00CE6C82"/>
    <w:rsid w:val="00CE734C"/>
    <w:rsid w:val="00CF2110"/>
    <w:rsid w:val="00CF21FD"/>
    <w:rsid w:val="00CF2AD1"/>
    <w:rsid w:val="00CF3603"/>
    <w:rsid w:val="00CF3928"/>
    <w:rsid w:val="00CF5FC0"/>
    <w:rsid w:val="00CF6529"/>
    <w:rsid w:val="00CF6912"/>
    <w:rsid w:val="00CF6E19"/>
    <w:rsid w:val="00CF7D96"/>
    <w:rsid w:val="00D003A2"/>
    <w:rsid w:val="00D00DF3"/>
    <w:rsid w:val="00D01116"/>
    <w:rsid w:val="00D01B92"/>
    <w:rsid w:val="00D0387D"/>
    <w:rsid w:val="00D03EAF"/>
    <w:rsid w:val="00D04664"/>
    <w:rsid w:val="00D0485E"/>
    <w:rsid w:val="00D0599F"/>
    <w:rsid w:val="00D06318"/>
    <w:rsid w:val="00D06C1C"/>
    <w:rsid w:val="00D06D43"/>
    <w:rsid w:val="00D07060"/>
    <w:rsid w:val="00D0765A"/>
    <w:rsid w:val="00D12233"/>
    <w:rsid w:val="00D1455E"/>
    <w:rsid w:val="00D14633"/>
    <w:rsid w:val="00D1480C"/>
    <w:rsid w:val="00D14C1A"/>
    <w:rsid w:val="00D15FDC"/>
    <w:rsid w:val="00D1642E"/>
    <w:rsid w:val="00D1658A"/>
    <w:rsid w:val="00D16758"/>
    <w:rsid w:val="00D171E9"/>
    <w:rsid w:val="00D20315"/>
    <w:rsid w:val="00D207AB"/>
    <w:rsid w:val="00D2183A"/>
    <w:rsid w:val="00D22925"/>
    <w:rsid w:val="00D235B2"/>
    <w:rsid w:val="00D24032"/>
    <w:rsid w:val="00D246BB"/>
    <w:rsid w:val="00D25165"/>
    <w:rsid w:val="00D32EC7"/>
    <w:rsid w:val="00D33092"/>
    <w:rsid w:val="00D3321B"/>
    <w:rsid w:val="00D33917"/>
    <w:rsid w:val="00D34034"/>
    <w:rsid w:val="00D3410C"/>
    <w:rsid w:val="00D34E20"/>
    <w:rsid w:val="00D35BCE"/>
    <w:rsid w:val="00D35E6B"/>
    <w:rsid w:val="00D37AD9"/>
    <w:rsid w:val="00D402B7"/>
    <w:rsid w:val="00D407B4"/>
    <w:rsid w:val="00D4149B"/>
    <w:rsid w:val="00D41BCB"/>
    <w:rsid w:val="00D427AD"/>
    <w:rsid w:val="00D43CED"/>
    <w:rsid w:val="00D44463"/>
    <w:rsid w:val="00D44AD7"/>
    <w:rsid w:val="00D45858"/>
    <w:rsid w:val="00D45C63"/>
    <w:rsid w:val="00D4648A"/>
    <w:rsid w:val="00D4671C"/>
    <w:rsid w:val="00D46AE7"/>
    <w:rsid w:val="00D47084"/>
    <w:rsid w:val="00D50D5A"/>
    <w:rsid w:val="00D5135E"/>
    <w:rsid w:val="00D517B3"/>
    <w:rsid w:val="00D522B8"/>
    <w:rsid w:val="00D53755"/>
    <w:rsid w:val="00D545DC"/>
    <w:rsid w:val="00D5573E"/>
    <w:rsid w:val="00D5590B"/>
    <w:rsid w:val="00D563A2"/>
    <w:rsid w:val="00D57456"/>
    <w:rsid w:val="00D57521"/>
    <w:rsid w:val="00D57927"/>
    <w:rsid w:val="00D60E73"/>
    <w:rsid w:val="00D6211A"/>
    <w:rsid w:val="00D6245D"/>
    <w:rsid w:val="00D629BF"/>
    <w:rsid w:val="00D62BE0"/>
    <w:rsid w:val="00D6315A"/>
    <w:rsid w:val="00D63B12"/>
    <w:rsid w:val="00D64075"/>
    <w:rsid w:val="00D65031"/>
    <w:rsid w:val="00D65853"/>
    <w:rsid w:val="00D66F4D"/>
    <w:rsid w:val="00D71997"/>
    <w:rsid w:val="00D741FF"/>
    <w:rsid w:val="00D74DDA"/>
    <w:rsid w:val="00D74E2B"/>
    <w:rsid w:val="00D75C08"/>
    <w:rsid w:val="00D762F7"/>
    <w:rsid w:val="00D77800"/>
    <w:rsid w:val="00D77A60"/>
    <w:rsid w:val="00D805E3"/>
    <w:rsid w:val="00D81054"/>
    <w:rsid w:val="00D8175B"/>
    <w:rsid w:val="00D818E3"/>
    <w:rsid w:val="00D831BC"/>
    <w:rsid w:val="00D84A7B"/>
    <w:rsid w:val="00D84D9E"/>
    <w:rsid w:val="00D851B6"/>
    <w:rsid w:val="00D858BA"/>
    <w:rsid w:val="00D85E1B"/>
    <w:rsid w:val="00D867F8"/>
    <w:rsid w:val="00D925C9"/>
    <w:rsid w:val="00D927A5"/>
    <w:rsid w:val="00D92CCD"/>
    <w:rsid w:val="00D95831"/>
    <w:rsid w:val="00D961DA"/>
    <w:rsid w:val="00D96548"/>
    <w:rsid w:val="00D966C8"/>
    <w:rsid w:val="00D96A45"/>
    <w:rsid w:val="00D97C72"/>
    <w:rsid w:val="00DA0FF2"/>
    <w:rsid w:val="00DA127A"/>
    <w:rsid w:val="00DA2271"/>
    <w:rsid w:val="00DA2A3D"/>
    <w:rsid w:val="00DA4AFF"/>
    <w:rsid w:val="00DA4EA3"/>
    <w:rsid w:val="00DA5DEA"/>
    <w:rsid w:val="00DA747B"/>
    <w:rsid w:val="00DA7B6E"/>
    <w:rsid w:val="00DA7C69"/>
    <w:rsid w:val="00DA7C86"/>
    <w:rsid w:val="00DB1769"/>
    <w:rsid w:val="00DB2813"/>
    <w:rsid w:val="00DB47BF"/>
    <w:rsid w:val="00DB4DEA"/>
    <w:rsid w:val="00DB56CE"/>
    <w:rsid w:val="00DB5B02"/>
    <w:rsid w:val="00DB5E7E"/>
    <w:rsid w:val="00DB5F53"/>
    <w:rsid w:val="00DB61C8"/>
    <w:rsid w:val="00DB6346"/>
    <w:rsid w:val="00DC0D3C"/>
    <w:rsid w:val="00DC1460"/>
    <w:rsid w:val="00DC187D"/>
    <w:rsid w:val="00DC2D91"/>
    <w:rsid w:val="00DC2F8E"/>
    <w:rsid w:val="00DC400D"/>
    <w:rsid w:val="00DC4DBB"/>
    <w:rsid w:val="00DC5B60"/>
    <w:rsid w:val="00DC6231"/>
    <w:rsid w:val="00DC639A"/>
    <w:rsid w:val="00DC6416"/>
    <w:rsid w:val="00DC6560"/>
    <w:rsid w:val="00DC6FCF"/>
    <w:rsid w:val="00DD0167"/>
    <w:rsid w:val="00DD06B3"/>
    <w:rsid w:val="00DD11E0"/>
    <w:rsid w:val="00DD12C2"/>
    <w:rsid w:val="00DD153A"/>
    <w:rsid w:val="00DD19CB"/>
    <w:rsid w:val="00DD1C3B"/>
    <w:rsid w:val="00DD3B7D"/>
    <w:rsid w:val="00DD4130"/>
    <w:rsid w:val="00DD420B"/>
    <w:rsid w:val="00DD4DE8"/>
    <w:rsid w:val="00DD52D4"/>
    <w:rsid w:val="00DD5AD9"/>
    <w:rsid w:val="00DD6E8B"/>
    <w:rsid w:val="00DD77A1"/>
    <w:rsid w:val="00DE0954"/>
    <w:rsid w:val="00DE13B9"/>
    <w:rsid w:val="00DE1576"/>
    <w:rsid w:val="00DE26C0"/>
    <w:rsid w:val="00DE2AA6"/>
    <w:rsid w:val="00DE2EB9"/>
    <w:rsid w:val="00DE3136"/>
    <w:rsid w:val="00DE3262"/>
    <w:rsid w:val="00DE3771"/>
    <w:rsid w:val="00DE39B4"/>
    <w:rsid w:val="00DE3B88"/>
    <w:rsid w:val="00DE4C81"/>
    <w:rsid w:val="00DE51CF"/>
    <w:rsid w:val="00DE5977"/>
    <w:rsid w:val="00DE619B"/>
    <w:rsid w:val="00DE61E3"/>
    <w:rsid w:val="00DE788F"/>
    <w:rsid w:val="00DF0A39"/>
    <w:rsid w:val="00DF0DA7"/>
    <w:rsid w:val="00DF1FAE"/>
    <w:rsid w:val="00DF21D4"/>
    <w:rsid w:val="00DF256C"/>
    <w:rsid w:val="00DF3425"/>
    <w:rsid w:val="00DF3696"/>
    <w:rsid w:val="00DF37A2"/>
    <w:rsid w:val="00DF4222"/>
    <w:rsid w:val="00DF55E6"/>
    <w:rsid w:val="00DF66C8"/>
    <w:rsid w:val="00DF7141"/>
    <w:rsid w:val="00DF75B3"/>
    <w:rsid w:val="00DF79A4"/>
    <w:rsid w:val="00E00604"/>
    <w:rsid w:val="00E00762"/>
    <w:rsid w:val="00E00E53"/>
    <w:rsid w:val="00E01C5E"/>
    <w:rsid w:val="00E01D82"/>
    <w:rsid w:val="00E02593"/>
    <w:rsid w:val="00E046E7"/>
    <w:rsid w:val="00E04913"/>
    <w:rsid w:val="00E05538"/>
    <w:rsid w:val="00E05991"/>
    <w:rsid w:val="00E06884"/>
    <w:rsid w:val="00E075BF"/>
    <w:rsid w:val="00E10163"/>
    <w:rsid w:val="00E10D35"/>
    <w:rsid w:val="00E10FAB"/>
    <w:rsid w:val="00E12AF8"/>
    <w:rsid w:val="00E13189"/>
    <w:rsid w:val="00E1380A"/>
    <w:rsid w:val="00E165FB"/>
    <w:rsid w:val="00E16D54"/>
    <w:rsid w:val="00E16F4B"/>
    <w:rsid w:val="00E209FE"/>
    <w:rsid w:val="00E21055"/>
    <w:rsid w:val="00E21E93"/>
    <w:rsid w:val="00E22608"/>
    <w:rsid w:val="00E22FCC"/>
    <w:rsid w:val="00E2323C"/>
    <w:rsid w:val="00E232BA"/>
    <w:rsid w:val="00E23D86"/>
    <w:rsid w:val="00E24688"/>
    <w:rsid w:val="00E24DB6"/>
    <w:rsid w:val="00E2506C"/>
    <w:rsid w:val="00E25CA3"/>
    <w:rsid w:val="00E2661B"/>
    <w:rsid w:val="00E272E9"/>
    <w:rsid w:val="00E27348"/>
    <w:rsid w:val="00E27B7B"/>
    <w:rsid w:val="00E27BD3"/>
    <w:rsid w:val="00E27F78"/>
    <w:rsid w:val="00E30421"/>
    <w:rsid w:val="00E308FE"/>
    <w:rsid w:val="00E315D7"/>
    <w:rsid w:val="00E31B0F"/>
    <w:rsid w:val="00E32426"/>
    <w:rsid w:val="00E32F39"/>
    <w:rsid w:val="00E3389A"/>
    <w:rsid w:val="00E34DC1"/>
    <w:rsid w:val="00E35209"/>
    <w:rsid w:val="00E35B5F"/>
    <w:rsid w:val="00E3600F"/>
    <w:rsid w:val="00E3716D"/>
    <w:rsid w:val="00E371D2"/>
    <w:rsid w:val="00E37A90"/>
    <w:rsid w:val="00E40796"/>
    <w:rsid w:val="00E40DDF"/>
    <w:rsid w:val="00E42173"/>
    <w:rsid w:val="00E42916"/>
    <w:rsid w:val="00E42DB2"/>
    <w:rsid w:val="00E44452"/>
    <w:rsid w:val="00E44CE2"/>
    <w:rsid w:val="00E45ACE"/>
    <w:rsid w:val="00E47078"/>
    <w:rsid w:val="00E51271"/>
    <w:rsid w:val="00E51EA9"/>
    <w:rsid w:val="00E52DEE"/>
    <w:rsid w:val="00E53857"/>
    <w:rsid w:val="00E547D1"/>
    <w:rsid w:val="00E55627"/>
    <w:rsid w:val="00E5607F"/>
    <w:rsid w:val="00E57578"/>
    <w:rsid w:val="00E61D85"/>
    <w:rsid w:val="00E6214A"/>
    <w:rsid w:val="00E6258A"/>
    <w:rsid w:val="00E62C5C"/>
    <w:rsid w:val="00E6347B"/>
    <w:rsid w:val="00E64DBC"/>
    <w:rsid w:val="00E65041"/>
    <w:rsid w:val="00E65139"/>
    <w:rsid w:val="00E6600F"/>
    <w:rsid w:val="00E673C9"/>
    <w:rsid w:val="00E70D74"/>
    <w:rsid w:val="00E722E5"/>
    <w:rsid w:val="00E725B1"/>
    <w:rsid w:val="00E72717"/>
    <w:rsid w:val="00E72899"/>
    <w:rsid w:val="00E72EDC"/>
    <w:rsid w:val="00E740F8"/>
    <w:rsid w:val="00E74725"/>
    <w:rsid w:val="00E75228"/>
    <w:rsid w:val="00E75C53"/>
    <w:rsid w:val="00E762D4"/>
    <w:rsid w:val="00E76BC2"/>
    <w:rsid w:val="00E76BEA"/>
    <w:rsid w:val="00E776D0"/>
    <w:rsid w:val="00E77718"/>
    <w:rsid w:val="00E77F35"/>
    <w:rsid w:val="00E806F9"/>
    <w:rsid w:val="00E816E6"/>
    <w:rsid w:val="00E81936"/>
    <w:rsid w:val="00E81AF9"/>
    <w:rsid w:val="00E81CE2"/>
    <w:rsid w:val="00E82156"/>
    <w:rsid w:val="00E827A5"/>
    <w:rsid w:val="00E8301D"/>
    <w:rsid w:val="00E836F1"/>
    <w:rsid w:val="00E8377E"/>
    <w:rsid w:val="00E83A84"/>
    <w:rsid w:val="00E858DC"/>
    <w:rsid w:val="00E877EA"/>
    <w:rsid w:val="00E87AA3"/>
    <w:rsid w:val="00E900DA"/>
    <w:rsid w:val="00E90B7A"/>
    <w:rsid w:val="00E9177F"/>
    <w:rsid w:val="00E94ADE"/>
    <w:rsid w:val="00E953A1"/>
    <w:rsid w:val="00E959A1"/>
    <w:rsid w:val="00E973EC"/>
    <w:rsid w:val="00E9749C"/>
    <w:rsid w:val="00E97B38"/>
    <w:rsid w:val="00EA06B1"/>
    <w:rsid w:val="00EA09ED"/>
    <w:rsid w:val="00EA19F9"/>
    <w:rsid w:val="00EA1D87"/>
    <w:rsid w:val="00EA2D4B"/>
    <w:rsid w:val="00EA3CF1"/>
    <w:rsid w:val="00EA48C9"/>
    <w:rsid w:val="00EA7310"/>
    <w:rsid w:val="00EA73DF"/>
    <w:rsid w:val="00EB0369"/>
    <w:rsid w:val="00EB059D"/>
    <w:rsid w:val="00EB05B9"/>
    <w:rsid w:val="00EB1FE2"/>
    <w:rsid w:val="00EB250F"/>
    <w:rsid w:val="00EB2FA3"/>
    <w:rsid w:val="00EB44EB"/>
    <w:rsid w:val="00EB54CD"/>
    <w:rsid w:val="00EB6900"/>
    <w:rsid w:val="00EC0C3C"/>
    <w:rsid w:val="00EC11AD"/>
    <w:rsid w:val="00EC1314"/>
    <w:rsid w:val="00EC133E"/>
    <w:rsid w:val="00EC1DC6"/>
    <w:rsid w:val="00EC3216"/>
    <w:rsid w:val="00EC3C58"/>
    <w:rsid w:val="00EC44DC"/>
    <w:rsid w:val="00EC468F"/>
    <w:rsid w:val="00EC4BA8"/>
    <w:rsid w:val="00EC6575"/>
    <w:rsid w:val="00EC66FA"/>
    <w:rsid w:val="00EC6D7C"/>
    <w:rsid w:val="00EC7C3E"/>
    <w:rsid w:val="00ED08CA"/>
    <w:rsid w:val="00ED14E4"/>
    <w:rsid w:val="00ED178E"/>
    <w:rsid w:val="00ED195C"/>
    <w:rsid w:val="00ED21B2"/>
    <w:rsid w:val="00ED4889"/>
    <w:rsid w:val="00ED50DB"/>
    <w:rsid w:val="00ED6345"/>
    <w:rsid w:val="00ED63F7"/>
    <w:rsid w:val="00ED660F"/>
    <w:rsid w:val="00ED66D6"/>
    <w:rsid w:val="00ED6DC6"/>
    <w:rsid w:val="00ED70B1"/>
    <w:rsid w:val="00ED7A8F"/>
    <w:rsid w:val="00EE0F44"/>
    <w:rsid w:val="00EE2270"/>
    <w:rsid w:val="00EE2661"/>
    <w:rsid w:val="00EE4C5D"/>
    <w:rsid w:val="00EE691A"/>
    <w:rsid w:val="00EE6EF1"/>
    <w:rsid w:val="00EF0EC5"/>
    <w:rsid w:val="00EF1446"/>
    <w:rsid w:val="00EF193A"/>
    <w:rsid w:val="00EF1A2F"/>
    <w:rsid w:val="00EF1A45"/>
    <w:rsid w:val="00EF200D"/>
    <w:rsid w:val="00EF21E9"/>
    <w:rsid w:val="00EF29DE"/>
    <w:rsid w:val="00EF2E98"/>
    <w:rsid w:val="00EF66D1"/>
    <w:rsid w:val="00EF7515"/>
    <w:rsid w:val="00F00031"/>
    <w:rsid w:val="00F00077"/>
    <w:rsid w:val="00F010E8"/>
    <w:rsid w:val="00F0246E"/>
    <w:rsid w:val="00F0257F"/>
    <w:rsid w:val="00F03709"/>
    <w:rsid w:val="00F039ED"/>
    <w:rsid w:val="00F04C82"/>
    <w:rsid w:val="00F05F8A"/>
    <w:rsid w:val="00F0738C"/>
    <w:rsid w:val="00F1109A"/>
    <w:rsid w:val="00F110DA"/>
    <w:rsid w:val="00F12693"/>
    <w:rsid w:val="00F12739"/>
    <w:rsid w:val="00F138B9"/>
    <w:rsid w:val="00F141D2"/>
    <w:rsid w:val="00F16490"/>
    <w:rsid w:val="00F16ADB"/>
    <w:rsid w:val="00F16D78"/>
    <w:rsid w:val="00F1785A"/>
    <w:rsid w:val="00F20F35"/>
    <w:rsid w:val="00F20FFF"/>
    <w:rsid w:val="00F22432"/>
    <w:rsid w:val="00F2252E"/>
    <w:rsid w:val="00F23DE1"/>
    <w:rsid w:val="00F23E6E"/>
    <w:rsid w:val="00F25370"/>
    <w:rsid w:val="00F25BF0"/>
    <w:rsid w:val="00F25F15"/>
    <w:rsid w:val="00F27243"/>
    <w:rsid w:val="00F2725C"/>
    <w:rsid w:val="00F301FD"/>
    <w:rsid w:val="00F30FFA"/>
    <w:rsid w:val="00F316C5"/>
    <w:rsid w:val="00F321B2"/>
    <w:rsid w:val="00F32A25"/>
    <w:rsid w:val="00F32E2A"/>
    <w:rsid w:val="00F332CB"/>
    <w:rsid w:val="00F338EB"/>
    <w:rsid w:val="00F3462E"/>
    <w:rsid w:val="00F353FD"/>
    <w:rsid w:val="00F35E72"/>
    <w:rsid w:val="00F363BA"/>
    <w:rsid w:val="00F36B53"/>
    <w:rsid w:val="00F3701A"/>
    <w:rsid w:val="00F37928"/>
    <w:rsid w:val="00F40F33"/>
    <w:rsid w:val="00F4273F"/>
    <w:rsid w:val="00F42773"/>
    <w:rsid w:val="00F42A99"/>
    <w:rsid w:val="00F43547"/>
    <w:rsid w:val="00F44192"/>
    <w:rsid w:val="00F4475E"/>
    <w:rsid w:val="00F46504"/>
    <w:rsid w:val="00F46A5F"/>
    <w:rsid w:val="00F51052"/>
    <w:rsid w:val="00F520E3"/>
    <w:rsid w:val="00F52D02"/>
    <w:rsid w:val="00F53653"/>
    <w:rsid w:val="00F53E2E"/>
    <w:rsid w:val="00F5404A"/>
    <w:rsid w:val="00F55657"/>
    <w:rsid w:val="00F56163"/>
    <w:rsid w:val="00F570AE"/>
    <w:rsid w:val="00F5767D"/>
    <w:rsid w:val="00F57FDB"/>
    <w:rsid w:val="00F612C4"/>
    <w:rsid w:val="00F62792"/>
    <w:rsid w:val="00F630CB"/>
    <w:rsid w:val="00F63420"/>
    <w:rsid w:val="00F6420F"/>
    <w:rsid w:val="00F648A5"/>
    <w:rsid w:val="00F65232"/>
    <w:rsid w:val="00F655EA"/>
    <w:rsid w:val="00F65B15"/>
    <w:rsid w:val="00F66253"/>
    <w:rsid w:val="00F66ADB"/>
    <w:rsid w:val="00F67E76"/>
    <w:rsid w:val="00F70899"/>
    <w:rsid w:val="00F71235"/>
    <w:rsid w:val="00F71A92"/>
    <w:rsid w:val="00F72356"/>
    <w:rsid w:val="00F74165"/>
    <w:rsid w:val="00F74298"/>
    <w:rsid w:val="00F74DB6"/>
    <w:rsid w:val="00F7574B"/>
    <w:rsid w:val="00F75952"/>
    <w:rsid w:val="00F76A2E"/>
    <w:rsid w:val="00F7704F"/>
    <w:rsid w:val="00F77222"/>
    <w:rsid w:val="00F80498"/>
    <w:rsid w:val="00F80B5E"/>
    <w:rsid w:val="00F81E3A"/>
    <w:rsid w:val="00F82BB9"/>
    <w:rsid w:val="00F84583"/>
    <w:rsid w:val="00F8591F"/>
    <w:rsid w:val="00F85F16"/>
    <w:rsid w:val="00F86136"/>
    <w:rsid w:val="00F861CF"/>
    <w:rsid w:val="00F87EBC"/>
    <w:rsid w:val="00F92462"/>
    <w:rsid w:val="00F9309F"/>
    <w:rsid w:val="00F9518B"/>
    <w:rsid w:val="00F959B3"/>
    <w:rsid w:val="00F95CBD"/>
    <w:rsid w:val="00F95EAD"/>
    <w:rsid w:val="00F961C4"/>
    <w:rsid w:val="00F96482"/>
    <w:rsid w:val="00F9715E"/>
    <w:rsid w:val="00F97954"/>
    <w:rsid w:val="00F97F98"/>
    <w:rsid w:val="00FA14D5"/>
    <w:rsid w:val="00FA4855"/>
    <w:rsid w:val="00FA5D16"/>
    <w:rsid w:val="00FA5D57"/>
    <w:rsid w:val="00FA5D97"/>
    <w:rsid w:val="00FA63E5"/>
    <w:rsid w:val="00FA6BE6"/>
    <w:rsid w:val="00FA71A0"/>
    <w:rsid w:val="00FA75B4"/>
    <w:rsid w:val="00FA771C"/>
    <w:rsid w:val="00FA7958"/>
    <w:rsid w:val="00FB03C5"/>
    <w:rsid w:val="00FB22B1"/>
    <w:rsid w:val="00FB252C"/>
    <w:rsid w:val="00FB32E4"/>
    <w:rsid w:val="00FB4EEB"/>
    <w:rsid w:val="00FB5180"/>
    <w:rsid w:val="00FB5757"/>
    <w:rsid w:val="00FB6ED9"/>
    <w:rsid w:val="00FB6FAD"/>
    <w:rsid w:val="00FB7844"/>
    <w:rsid w:val="00FC01BA"/>
    <w:rsid w:val="00FC0BBA"/>
    <w:rsid w:val="00FC0CCA"/>
    <w:rsid w:val="00FC2325"/>
    <w:rsid w:val="00FC2D11"/>
    <w:rsid w:val="00FC2F64"/>
    <w:rsid w:val="00FC3440"/>
    <w:rsid w:val="00FC3602"/>
    <w:rsid w:val="00FC3D02"/>
    <w:rsid w:val="00FC3E30"/>
    <w:rsid w:val="00FC40D1"/>
    <w:rsid w:val="00FC5F07"/>
    <w:rsid w:val="00FC7C6C"/>
    <w:rsid w:val="00FD037A"/>
    <w:rsid w:val="00FD1BE4"/>
    <w:rsid w:val="00FD1C64"/>
    <w:rsid w:val="00FD1D56"/>
    <w:rsid w:val="00FD1F8B"/>
    <w:rsid w:val="00FD270D"/>
    <w:rsid w:val="00FD2871"/>
    <w:rsid w:val="00FD2CED"/>
    <w:rsid w:val="00FD2D19"/>
    <w:rsid w:val="00FD2EA8"/>
    <w:rsid w:val="00FD328B"/>
    <w:rsid w:val="00FD3B18"/>
    <w:rsid w:val="00FD5CB2"/>
    <w:rsid w:val="00FD6A92"/>
    <w:rsid w:val="00FD7490"/>
    <w:rsid w:val="00FE0B06"/>
    <w:rsid w:val="00FE0C81"/>
    <w:rsid w:val="00FE3634"/>
    <w:rsid w:val="00FE4615"/>
    <w:rsid w:val="00FE6373"/>
    <w:rsid w:val="00FE650D"/>
    <w:rsid w:val="00FE65AA"/>
    <w:rsid w:val="00FE7E94"/>
    <w:rsid w:val="00FE7F2D"/>
    <w:rsid w:val="00FF0679"/>
    <w:rsid w:val="00FF1D16"/>
    <w:rsid w:val="00FF3EBF"/>
    <w:rsid w:val="00FF4CA9"/>
    <w:rsid w:val="00FF4D1B"/>
    <w:rsid w:val="00FF58B2"/>
    <w:rsid w:val="00FF6FCB"/>
    <w:rsid w:val="00FF7A9B"/>
    <w:rsid w:val="00FF7F39"/>
    <w:rsid w:val="018C42A4"/>
    <w:rsid w:val="01DA18BD"/>
    <w:rsid w:val="02311B17"/>
    <w:rsid w:val="030A42E3"/>
    <w:rsid w:val="038051EC"/>
    <w:rsid w:val="042D37F0"/>
    <w:rsid w:val="05D44DB2"/>
    <w:rsid w:val="061F5686"/>
    <w:rsid w:val="065A5F1A"/>
    <w:rsid w:val="066E0311"/>
    <w:rsid w:val="06FA1CB3"/>
    <w:rsid w:val="070078B8"/>
    <w:rsid w:val="07B243EE"/>
    <w:rsid w:val="08F1548D"/>
    <w:rsid w:val="09EA3AFB"/>
    <w:rsid w:val="0A366E71"/>
    <w:rsid w:val="0AD2029D"/>
    <w:rsid w:val="0BD56541"/>
    <w:rsid w:val="0BDA22C7"/>
    <w:rsid w:val="0BFC3FA7"/>
    <w:rsid w:val="0C62669C"/>
    <w:rsid w:val="0D054844"/>
    <w:rsid w:val="0D5D649D"/>
    <w:rsid w:val="0D807DA2"/>
    <w:rsid w:val="0E9702F7"/>
    <w:rsid w:val="0EA678D4"/>
    <w:rsid w:val="0EEF562C"/>
    <w:rsid w:val="0F790D4A"/>
    <w:rsid w:val="0F7E7D8C"/>
    <w:rsid w:val="0FB476C3"/>
    <w:rsid w:val="10051676"/>
    <w:rsid w:val="10746524"/>
    <w:rsid w:val="10E172A9"/>
    <w:rsid w:val="11006E66"/>
    <w:rsid w:val="114A3D64"/>
    <w:rsid w:val="119079DF"/>
    <w:rsid w:val="11FB3630"/>
    <w:rsid w:val="12F8293B"/>
    <w:rsid w:val="13372F91"/>
    <w:rsid w:val="13686B85"/>
    <w:rsid w:val="147E6A4B"/>
    <w:rsid w:val="150848EA"/>
    <w:rsid w:val="153B1F40"/>
    <w:rsid w:val="15476E47"/>
    <w:rsid w:val="15B441D8"/>
    <w:rsid w:val="16A429A5"/>
    <w:rsid w:val="16A92DCB"/>
    <w:rsid w:val="1730383A"/>
    <w:rsid w:val="177E0E09"/>
    <w:rsid w:val="178C5904"/>
    <w:rsid w:val="18E970BC"/>
    <w:rsid w:val="19823172"/>
    <w:rsid w:val="19C9733B"/>
    <w:rsid w:val="1A1B47CC"/>
    <w:rsid w:val="1A272479"/>
    <w:rsid w:val="1ABF526E"/>
    <w:rsid w:val="1B860DE0"/>
    <w:rsid w:val="1BE208E2"/>
    <w:rsid w:val="1C9D01BD"/>
    <w:rsid w:val="1DBD5805"/>
    <w:rsid w:val="1E3F6C8E"/>
    <w:rsid w:val="1EEC5078"/>
    <w:rsid w:val="1F666311"/>
    <w:rsid w:val="20A636EE"/>
    <w:rsid w:val="20EB60C9"/>
    <w:rsid w:val="2108139B"/>
    <w:rsid w:val="22247BE7"/>
    <w:rsid w:val="22FE0CE5"/>
    <w:rsid w:val="24025F4B"/>
    <w:rsid w:val="24B85278"/>
    <w:rsid w:val="267B727C"/>
    <w:rsid w:val="2A5C4415"/>
    <w:rsid w:val="2B265D02"/>
    <w:rsid w:val="2BB9224D"/>
    <w:rsid w:val="2BCB06F2"/>
    <w:rsid w:val="2BD0623A"/>
    <w:rsid w:val="2C2E6A7E"/>
    <w:rsid w:val="2C9C735E"/>
    <w:rsid w:val="2CF94278"/>
    <w:rsid w:val="2D4B587E"/>
    <w:rsid w:val="2DF45E18"/>
    <w:rsid w:val="2DF652E8"/>
    <w:rsid w:val="2E373D25"/>
    <w:rsid w:val="2E5F7140"/>
    <w:rsid w:val="2EE74132"/>
    <w:rsid w:val="2F5A3ADA"/>
    <w:rsid w:val="307D243E"/>
    <w:rsid w:val="322F6C8B"/>
    <w:rsid w:val="324B781E"/>
    <w:rsid w:val="32FE4A37"/>
    <w:rsid w:val="341C6334"/>
    <w:rsid w:val="348A1A0B"/>
    <w:rsid w:val="34F50FE2"/>
    <w:rsid w:val="35590516"/>
    <w:rsid w:val="358F7222"/>
    <w:rsid w:val="35900B45"/>
    <w:rsid w:val="37D63297"/>
    <w:rsid w:val="383B0D5B"/>
    <w:rsid w:val="390B44F5"/>
    <w:rsid w:val="392D7640"/>
    <w:rsid w:val="39861243"/>
    <w:rsid w:val="399F4F2E"/>
    <w:rsid w:val="3A783BA5"/>
    <w:rsid w:val="3AB1109F"/>
    <w:rsid w:val="3AFA481E"/>
    <w:rsid w:val="3BCC3DEB"/>
    <w:rsid w:val="3BE627CE"/>
    <w:rsid w:val="3BEA1887"/>
    <w:rsid w:val="3CA27E63"/>
    <w:rsid w:val="3CCC3FDD"/>
    <w:rsid w:val="3D6046ED"/>
    <w:rsid w:val="3D6A4E85"/>
    <w:rsid w:val="3E374D1F"/>
    <w:rsid w:val="3ED8435A"/>
    <w:rsid w:val="3FBD2A2C"/>
    <w:rsid w:val="41096C86"/>
    <w:rsid w:val="41714F06"/>
    <w:rsid w:val="41C430DD"/>
    <w:rsid w:val="41CE0E50"/>
    <w:rsid w:val="4201545B"/>
    <w:rsid w:val="421E7EBE"/>
    <w:rsid w:val="42600586"/>
    <w:rsid w:val="42BF7140"/>
    <w:rsid w:val="43364749"/>
    <w:rsid w:val="438D4AD7"/>
    <w:rsid w:val="442453B6"/>
    <w:rsid w:val="45444498"/>
    <w:rsid w:val="459D6447"/>
    <w:rsid w:val="465E2917"/>
    <w:rsid w:val="47466025"/>
    <w:rsid w:val="47A70D1B"/>
    <w:rsid w:val="49D139F5"/>
    <w:rsid w:val="4A845A6A"/>
    <w:rsid w:val="4AC21968"/>
    <w:rsid w:val="4B1131D1"/>
    <w:rsid w:val="4BB32273"/>
    <w:rsid w:val="4BCD078C"/>
    <w:rsid w:val="4D9F4BE9"/>
    <w:rsid w:val="4E7B684F"/>
    <w:rsid w:val="4EB5719A"/>
    <w:rsid w:val="4FE32C73"/>
    <w:rsid w:val="4FEA695D"/>
    <w:rsid w:val="5011687F"/>
    <w:rsid w:val="50235727"/>
    <w:rsid w:val="509016D1"/>
    <w:rsid w:val="50DE691F"/>
    <w:rsid w:val="51373785"/>
    <w:rsid w:val="51426960"/>
    <w:rsid w:val="523B612A"/>
    <w:rsid w:val="5245042D"/>
    <w:rsid w:val="52491890"/>
    <w:rsid w:val="53E82AEC"/>
    <w:rsid w:val="55F16791"/>
    <w:rsid w:val="57440639"/>
    <w:rsid w:val="574C5623"/>
    <w:rsid w:val="58163489"/>
    <w:rsid w:val="584A116F"/>
    <w:rsid w:val="586B76F8"/>
    <w:rsid w:val="58A45CA3"/>
    <w:rsid w:val="59305843"/>
    <w:rsid w:val="59895D1F"/>
    <w:rsid w:val="59AD3FC5"/>
    <w:rsid w:val="59FC12AD"/>
    <w:rsid w:val="5A0110B2"/>
    <w:rsid w:val="5B1C10C3"/>
    <w:rsid w:val="5B552A0B"/>
    <w:rsid w:val="5B6C3132"/>
    <w:rsid w:val="5B9474BB"/>
    <w:rsid w:val="5BFE43A4"/>
    <w:rsid w:val="5CAA724E"/>
    <w:rsid w:val="5CD23FAA"/>
    <w:rsid w:val="5D47405B"/>
    <w:rsid w:val="5D6925E8"/>
    <w:rsid w:val="5E4B57D6"/>
    <w:rsid w:val="5E7449EE"/>
    <w:rsid w:val="5EED59C8"/>
    <w:rsid w:val="61E6687F"/>
    <w:rsid w:val="622530B1"/>
    <w:rsid w:val="6255787B"/>
    <w:rsid w:val="62A07E65"/>
    <w:rsid w:val="62E562A3"/>
    <w:rsid w:val="6333213F"/>
    <w:rsid w:val="63DD0481"/>
    <w:rsid w:val="64096136"/>
    <w:rsid w:val="644F545E"/>
    <w:rsid w:val="64514865"/>
    <w:rsid w:val="64F12EFB"/>
    <w:rsid w:val="651B1814"/>
    <w:rsid w:val="66210162"/>
    <w:rsid w:val="662F538A"/>
    <w:rsid w:val="66863615"/>
    <w:rsid w:val="67F54964"/>
    <w:rsid w:val="68015C74"/>
    <w:rsid w:val="688B62F8"/>
    <w:rsid w:val="68951EDC"/>
    <w:rsid w:val="689C1BC0"/>
    <w:rsid w:val="68F4000E"/>
    <w:rsid w:val="690F21AC"/>
    <w:rsid w:val="6AAC69EF"/>
    <w:rsid w:val="6B41224A"/>
    <w:rsid w:val="6BC45196"/>
    <w:rsid w:val="6C504A11"/>
    <w:rsid w:val="6D6E2483"/>
    <w:rsid w:val="6E061B9A"/>
    <w:rsid w:val="6F997610"/>
    <w:rsid w:val="713C201D"/>
    <w:rsid w:val="71FF40FD"/>
    <w:rsid w:val="72011FAC"/>
    <w:rsid w:val="72A76990"/>
    <w:rsid w:val="73186638"/>
    <w:rsid w:val="73241956"/>
    <w:rsid w:val="738C04AF"/>
    <w:rsid w:val="73CA001E"/>
    <w:rsid w:val="7436434B"/>
    <w:rsid w:val="74550F96"/>
    <w:rsid w:val="74E82C1C"/>
    <w:rsid w:val="75742FD6"/>
    <w:rsid w:val="76E33A86"/>
    <w:rsid w:val="76EE34C4"/>
    <w:rsid w:val="78D547C4"/>
    <w:rsid w:val="79787B84"/>
    <w:rsid w:val="799B7D06"/>
    <w:rsid w:val="79C50D65"/>
    <w:rsid w:val="7B5D59DB"/>
    <w:rsid w:val="7B855E34"/>
    <w:rsid w:val="7C3B5C44"/>
    <w:rsid w:val="7D167BB9"/>
    <w:rsid w:val="7D315586"/>
    <w:rsid w:val="7D5D078F"/>
    <w:rsid w:val="7E35139B"/>
    <w:rsid w:val="7E9F31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3"/>
    <w:autoRedefine/>
    <w:qFormat/>
    <w:uiPriority w:val="9"/>
    <w:pPr>
      <w:keepNext/>
      <w:keepLines/>
      <w:spacing w:before="340" w:after="330" w:line="578" w:lineRule="auto"/>
      <w:outlineLvl w:val="0"/>
    </w:pPr>
    <w:rPr>
      <w:b/>
      <w:bCs/>
      <w:kern w:val="44"/>
      <w:sz w:val="44"/>
      <w:szCs w:val="4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57"/>
    <w:autoRedefine/>
    <w:unhideWhenUsed/>
    <w:qFormat/>
    <w:uiPriority w:val="0"/>
    <w:pPr>
      <w:jc w:val="left"/>
    </w:pPr>
  </w:style>
  <w:style w:type="paragraph" w:styleId="4">
    <w:name w:val="toc 3"/>
    <w:basedOn w:val="1"/>
    <w:next w:val="1"/>
    <w:autoRedefine/>
    <w:unhideWhenUsed/>
    <w:qFormat/>
    <w:uiPriority w:val="39"/>
    <w:pPr>
      <w:ind w:left="840" w:leftChars="400"/>
    </w:pPr>
  </w:style>
  <w:style w:type="paragraph" w:styleId="5">
    <w:name w:val="endnote text"/>
    <w:basedOn w:val="1"/>
    <w:link w:val="56"/>
    <w:autoRedefine/>
    <w:semiHidden/>
    <w:qFormat/>
    <w:uiPriority w:val="0"/>
    <w:pPr>
      <w:snapToGrid w:val="0"/>
      <w:jc w:val="left"/>
    </w:pPr>
    <w:rPr>
      <w:rFonts w:ascii="Times New Roman" w:hAnsi="Times New Roman" w:eastAsia="宋体" w:cs="Times New Roman"/>
      <w:szCs w:val="24"/>
    </w:rPr>
  </w:style>
  <w:style w:type="paragraph" w:styleId="6">
    <w:name w:val="Balloon Text"/>
    <w:basedOn w:val="1"/>
    <w:link w:val="32"/>
    <w:autoRedefine/>
    <w:unhideWhenUsed/>
    <w:qFormat/>
    <w:uiPriority w:val="99"/>
    <w:rPr>
      <w:sz w:val="18"/>
      <w:szCs w:val="18"/>
    </w:rPr>
  </w:style>
  <w:style w:type="paragraph" w:styleId="7">
    <w:name w:val="footer"/>
    <w:basedOn w:val="1"/>
    <w:link w:val="25"/>
    <w:autoRedefine/>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8">
    <w:name w:val="header"/>
    <w:basedOn w:val="1"/>
    <w:link w:val="24"/>
    <w:autoRedefine/>
    <w:unhideWhenUsed/>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9">
    <w:name w:val="toc 1"/>
    <w:basedOn w:val="1"/>
    <w:next w:val="1"/>
    <w:autoRedefine/>
    <w:unhideWhenUsed/>
    <w:qFormat/>
    <w:uiPriority w:val="39"/>
  </w:style>
  <w:style w:type="paragraph" w:styleId="10">
    <w:name w:val="toc 2"/>
    <w:basedOn w:val="1"/>
    <w:next w:val="1"/>
    <w:autoRedefine/>
    <w:unhideWhenUsed/>
    <w:qFormat/>
    <w:uiPriority w:val="39"/>
    <w:pPr>
      <w:ind w:left="420" w:leftChars="200"/>
    </w:pPr>
  </w:style>
  <w:style w:type="paragraph" w:styleId="11">
    <w:name w:val="Normal (Web)"/>
    <w:basedOn w:val="1"/>
    <w:autoRedefine/>
    <w:unhideWhenUsed/>
    <w:qFormat/>
    <w:uiPriority w:val="99"/>
    <w:rPr>
      <w:sz w:val="24"/>
    </w:rPr>
  </w:style>
  <w:style w:type="paragraph" w:styleId="12">
    <w:name w:val="annotation subject"/>
    <w:basedOn w:val="3"/>
    <w:next w:val="3"/>
    <w:link w:val="60"/>
    <w:autoRedefine/>
    <w:semiHidden/>
    <w:unhideWhenUsed/>
    <w:qFormat/>
    <w:uiPriority w:val="99"/>
    <w:rPr>
      <w:b/>
      <w:bCs/>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basedOn w:val="15"/>
    <w:autoRedefine/>
    <w:unhideWhenUsed/>
    <w:qFormat/>
    <w:uiPriority w:val="99"/>
    <w:rPr>
      <w:color w:val="0000FF" w:themeColor="hyperlink"/>
      <w:u w:val="single"/>
      <w14:textFill>
        <w14:solidFill>
          <w14:schemeClr w14:val="hlink"/>
        </w14:solidFill>
      </w14:textFill>
    </w:rPr>
  </w:style>
  <w:style w:type="character" w:styleId="18">
    <w:name w:val="annotation reference"/>
    <w:basedOn w:val="15"/>
    <w:autoRedefine/>
    <w:qFormat/>
    <w:uiPriority w:val="0"/>
    <w:rPr>
      <w:sz w:val="21"/>
      <w:szCs w:val="21"/>
    </w:rPr>
  </w:style>
  <w:style w:type="paragraph" w:customStyle="1" w:styleId="19">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0">
    <w:name w:val="前言、引言标题"/>
    <w:next w:val="1"/>
    <w:autoRedefine/>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1">
    <w:name w:val="章标题"/>
    <w:next w:val="1"/>
    <w:autoRedefine/>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22">
    <w:name w:val="一级条标题"/>
    <w:next w:val="1"/>
    <w:autoRedefine/>
    <w:qFormat/>
    <w:uiPriority w:val="0"/>
    <w:pPr>
      <w:numPr>
        <w:ilvl w:val="2"/>
        <w:numId w:val="1"/>
      </w:numPr>
      <w:tabs>
        <w:tab w:val="left" w:pos="1905"/>
      </w:tabs>
      <w:ind w:left="1905" w:hanging="420"/>
      <w:outlineLvl w:val="2"/>
    </w:pPr>
    <w:rPr>
      <w:rFonts w:ascii="Times New Roman" w:hAnsi="Times New Roman" w:eastAsia="黑体" w:cs="Times New Roman"/>
      <w:sz w:val="21"/>
      <w:lang w:val="en-US" w:eastAsia="zh-CN" w:bidi="ar-SA"/>
    </w:rPr>
  </w:style>
  <w:style w:type="paragraph" w:customStyle="1" w:styleId="23">
    <w:name w:val="二级条标题"/>
    <w:basedOn w:val="22"/>
    <w:next w:val="1"/>
    <w:autoRedefine/>
    <w:qFormat/>
    <w:uiPriority w:val="0"/>
    <w:pPr>
      <w:numPr>
        <w:ilvl w:val="3"/>
      </w:numPr>
      <w:outlineLvl w:val="3"/>
    </w:pPr>
  </w:style>
  <w:style w:type="character" w:customStyle="1" w:styleId="24">
    <w:name w:val="页眉 字符"/>
    <w:basedOn w:val="15"/>
    <w:link w:val="8"/>
    <w:autoRedefine/>
    <w:qFormat/>
    <w:uiPriority w:val="99"/>
    <w:rPr>
      <w:rFonts w:ascii="Times New Roman" w:hAnsi="Times New Roman" w:eastAsia="宋体" w:cs="Times New Roman"/>
      <w:kern w:val="0"/>
      <w:sz w:val="18"/>
      <w:szCs w:val="18"/>
    </w:rPr>
  </w:style>
  <w:style w:type="character" w:customStyle="1" w:styleId="25">
    <w:name w:val="页脚 字符"/>
    <w:basedOn w:val="15"/>
    <w:link w:val="7"/>
    <w:autoRedefine/>
    <w:qFormat/>
    <w:uiPriority w:val="99"/>
    <w:rPr>
      <w:rFonts w:ascii="Times New Roman" w:hAnsi="Times New Roman" w:eastAsia="宋体" w:cs="Times New Roman"/>
      <w:kern w:val="0"/>
      <w:sz w:val="18"/>
      <w:szCs w:val="18"/>
    </w:rPr>
  </w:style>
  <w:style w:type="paragraph" w:customStyle="1" w:styleId="26">
    <w:name w:val="段"/>
    <w:link w:val="27"/>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
    <w:name w:val="段 Char"/>
    <w:link w:val="26"/>
    <w:autoRedefine/>
    <w:qFormat/>
    <w:uiPriority w:val="99"/>
    <w:rPr>
      <w:rFonts w:ascii="宋体" w:hAnsi="Times New Roman" w:eastAsia="宋体" w:cs="Times New Roman"/>
      <w:kern w:val="0"/>
      <w:szCs w:val="20"/>
    </w:rPr>
  </w:style>
  <w:style w:type="paragraph" w:customStyle="1" w:styleId="28">
    <w:name w:val="标准表题"/>
    <w:basedOn w:val="1"/>
    <w:next w:val="26"/>
    <w:autoRedefine/>
    <w:qFormat/>
    <w:uiPriority w:val="0"/>
    <w:pPr>
      <w:widowControl/>
      <w:jc w:val="center"/>
    </w:pPr>
    <w:rPr>
      <w:rFonts w:ascii="黑体" w:hAnsi="Times New Roman" w:eastAsia="黑体" w:cs="Times New Roman"/>
      <w:kern w:val="21"/>
      <w:szCs w:val="20"/>
    </w:rPr>
  </w:style>
  <w:style w:type="paragraph" w:customStyle="1" w:styleId="29">
    <w:name w:val="章"/>
    <w:basedOn w:val="1"/>
    <w:next w:val="26"/>
    <w:autoRedefine/>
    <w:qFormat/>
    <w:uiPriority w:val="0"/>
    <w:pPr>
      <w:adjustRightInd w:val="0"/>
      <w:spacing w:before="160" w:after="160"/>
      <w:outlineLvl w:val="0"/>
    </w:pPr>
    <w:rPr>
      <w:rFonts w:ascii="黑体" w:hAnsi="Times New Roman" w:eastAsia="黑体" w:cs="Times New Roman"/>
      <w:kern w:val="21"/>
      <w:szCs w:val="20"/>
    </w:rPr>
  </w:style>
  <w:style w:type="paragraph" w:customStyle="1" w:styleId="30">
    <w:name w:val="条2"/>
    <w:basedOn w:val="1"/>
    <w:next w:val="26"/>
    <w:autoRedefine/>
    <w:qFormat/>
    <w:uiPriority w:val="0"/>
    <w:pPr>
      <w:outlineLvl w:val="1"/>
    </w:pPr>
    <w:rPr>
      <w:rFonts w:ascii="黑体" w:hAnsi="Times New Roman" w:eastAsia="黑体" w:cs="Times New Roman"/>
      <w:kern w:val="21"/>
      <w:szCs w:val="20"/>
    </w:rPr>
  </w:style>
  <w:style w:type="paragraph" w:customStyle="1" w:styleId="31">
    <w:name w:val="条1"/>
    <w:basedOn w:val="1"/>
    <w:next w:val="26"/>
    <w:autoRedefine/>
    <w:qFormat/>
    <w:uiPriority w:val="0"/>
    <w:pPr>
      <w:outlineLvl w:val="1"/>
    </w:pPr>
    <w:rPr>
      <w:rFonts w:ascii="黑体" w:hAnsi="Times New Roman" w:eastAsia="黑体" w:cs="Times New Roman"/>
      <w:kern w:val="21"/>
      <w:szCs w:val="20"/>
    </w:rPr>
  </w:style>
  <w:style w:type="character" w:customStyle="1" w:styleId="32">
    <w:name w:val="批注框文本 字符"/>
    <w:basedOn w:val="15"/>
    <w:link w:val="6"/>
    <w:autoRedefine/>
    <w:semiHidden/>
    <w:qFormat/>
    <w:uiPriority w:val="99"/>
    <w:rPr>
      <w:sz w:val="18"/>
      <w:szCs w:val="18"/>
    </w:rPr>
  </w:style>
  <w:style w:type="character" w:customStyle="1" w:styleId="33">
    <w:name w:val="页眉 Char"/>
    <w:autoRedefine/>
    <w:qFormat/>
    <w:uiPriority w:val="0"/>
    <w:rPr>
      <w:rFonts w:ascii="Times New Roman" w:hAnsi="Times New Roman" w:eastAsia="宋体" w:cs="Times New Roman"/>
      <w:sz w:val="18"/>
      <w:szCs w:val="18"/>
    </w:rPr>
  </w:style>
  <w:style w:type="paragraph" w:customStyle="1" w:styleId="34">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5">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6">
    <w:name w:val="目次、标准名称标题"/>
    <w:basedOn w:val="1"/>
    <w:next w:val="26"/>
    <w:autoRedefine/>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37">
    <w:name w:val="三级条标题"/>
    <w:basedOn w:val="23"/>
    <w:next w:val="26"/>
    <w:autoRedefine/>
    <w:qFormat/>
    <w:uiPriority w:val="0"/>
    <w:pPr>
      <w:numPr>
        <w:ilvl w:val="0"/>
        <w:numId w:val="0"/>
      </w:numPr>
      <w:spacing w:beforeLines="50" w:afterLines="50"/>
      <w:outlineLvl w:val="4"/>
    </w:pPr>
    <w:rPr>
      <w:rFonts w:ascii="黑体"/>
      <w:szCs w:val="21"/>
    </w:rPr>
  </w:style>
  <w:style w:type="paragraph" w:customStyle="1" w:styleId="38">
    <w:name w:val="四级条标题"/>
    <w:basedOn w:val="37"/>
    <w:next w:val="26"/>
    <w:autoRedefine/>
    <w:qFormat/>
    <w:uiPriority w:val="0"/>
    <w:pPr>
      <w:outlineLvl w:val="5"/>
    </w:pPr>
  </w:style>
  <w:style w:type="paragraph" w:customStyle="1" w:styleId="39">
    <w:name w:val="五级条标题"/>
    <w:basedOn w:val="38"/>
    <w:next w:val="26"/>
    <w:autoRedefine/>
    <w:qFormat/>
    <w:uiPriority w:val="0"/>
    <w:pPr>
      <w:outlineLvl w:val="6"/>
    </w:pPr>
  </w:style>
  <w:style w:type="paragraph" w:styleId="40">
    <w:name w:val="List Paragraph"/>
    <w:basedOn w:val="1"/>
    <w:autoRedefine/>
    <w:qFormat/>
    <w:uiPriority w:val="34"/>
    <w:pPr>
      <w:ind w:firstLine="420" w:firstLineChars="200"/>
    </w:pPr>
  </w:style>
  <w:style w:type="paragraph" w:customStyle="1" w:styleId="41">
    <w:name w:val="示例"/>
    <w:next w:val="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4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43">
    <w:name w:val="发布"/>
    <w:autoRedefine/>
    <w:qFormat/>
    <w:uiPriority w:val="0"/>
    <w:rPr>
      <w:rFonts w:ascii="黑体" w:eastAsia="黑体"/>
      <w:spacing w:val="22"/>
      <w:w w:val="100"/>
      <w:position w:val="3"/>
      <w:sz w:val="28"/>
    </w:rPr>
  </w:style>
  <w:style w:type="paragraph" w:customStyle="1" w:styleId="4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6">
    <w:name w:val="封面标准代替信息"/>
    <w:basedOn w:val="1"/>
    <w:autoRedefine/>
    <w:qFormat/>
    <w:uiPriority w:val="0"/>
    <w:pPr>
      <w:framePr w:w="9138" w:h="1244" w:hRule="exact" w:wrap="around" w:vAnchor="page" w:hAnchor="margin" w:y="2908" w:anchorLock="1"/>
      <w:kinsoku w:val="0"/>
      <w:overflowPunct w:val="0"/>
      <w:autoSpaceDE w:val="0"/>
      <w:autoSpaceDN w:val="0"/>
      <w:adjustRightInd w:val="0"/>
      <w:spacing w:before="57" w:line="280" w:lineRule="exact"/>
      <w:jc w:val="right"/>
      <w:textAlignment w:val="center"/>
    </w:pPr>
    <w:rPr>
      <w:rFonts w:ascii="宋体" w:hAnsi="Times New Roman" w:eastAsia="宋体" w:cs="Times New Roman"/>
      <w:kern w:val="0"/>
      <w:szCs w:val="20"/>
    </w:rPr>
  </w:style>
  <w:style w:type="paragraph" w:customStyle="1" w:styleId="4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9">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0">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51">
    <w:name w:val="封面正文"/>
    <w:autoRedefine/>
    <w:qFormat/>
    <w:uiPriority w:val="0"/>
    <w:pPr>
      <w:jc w:val="both"/>
    </w:pPr>
    <w:rPr>
      <w:rFonts w:ascii="Times New Roman" w:hAnsi="Times New Roman" w:eastAsia="宋体" w:cs="Times New Roman"/>
      <w:lang w:val="en-US" w:eastAsia="zh-CN" w:bidi="ar-SA"/>
    </w:rPr>
  </w:style>
  <w:style w:type="paragraph" w:customStyle="1" w:styleId="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53">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cs="Times New Roman"/>
      <w:spacing w:val="20"/>
      <w:w w:val="135"/>
      <w:kern w:val="0"/>
      <w:sz w:val="36"/>
      <w:szCs w:val="20"/>
    </w:rPr>
  </w:style>
  <w:style w:type="paragraph" w:customStyle="1" w:styleId="54">
    <w:name w:val="实施日期"/>
    <w:basedOn w:val="44"/>
    <w:autoRedefine/>
    <w:qFormat/>
    <w:uiPriority w:val="0"/>
    <w:pPr>
      <w:framePr w:hSpace="0" w:wrap="around" w:xAlign="right"/>
      <w:jc w:val="right"/>
    </w:pPr>
  </w:style>
  <w:style w:type="paragraph" w:customStyle="1" w:styleId="55">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56">
    <w:name w:val="尾注文本 字符"/>
    <w:basedOn w:val="15"/>
    <w:link w:val="5"/>
    <w:autoRedefine/>
    <w:semiHidden/>
    <w:qFormat/>
    <w:uiPriority w:val="0"/>
    <w:rPr>
      <w:kern w:val="2"/>
      <w:sz w:val="21"/>
      <w:szCs w:val="24"/>
    </w:rPr>
  </w:style>
  <w:style w:type="character" w:customStyle="1" w:styleId="57">
    <w:name w:val="批注文字 字符"/>
    <w:basedOn w:val="15"/>
    <w:link w:val="3"/>
    <w:autoRedefine/>
    <w:qFormat/>
    <w:uiPriority w:val="0"/>
    <w:rPr>
      <w:rFonts w:asciiTheme="minorHAnsi" w:hAnsiTheme="minorHAnsi" w:eastAsiaTheme="minorEastAsia" w:cstheme="minorBidi"/>
      <w:kern w:val="2"/>
      <w:sz w:val="21"/>
      <w:szCs w:val="22"/>
    </w:rPr>
  </w:style>
  <w:style w:type="table" w:customStyle="1" w:styleId="58">
    <w:name w:val="网格型1"/>
    <w:basedOn w:val="13"/>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
    <w:name w:val="网格型2"/>
    <w:basedOn w:val="13"/>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0">
    <w:name w:val="批注主题 字符"/>
    <w:basedOn w:val="57"/>
    <w:link w:val="12"/>
    <w:autoRedefine/>
    <w:semiHidden/>
    <w:qFormat/>
    <w:uiPriority w:val="99"/>
    <w:rPr>
      <w:rFonts w:asciiTheme="minorHAnsi" w:hAnsiTheme="minorHAnsi" w:eastAsiaTheme="minorEastAsia" w:cstheme="minorBidi"/>
      <w:b/>
      <w:bCs/>
      <w:kern w:val="2"/>
      <w:sz w:val="21"/>
      <w:szCs w:val="22"/>
    </w:rPr>
  </w:style>
  <w:style w:type="character" w:customStyle="1" w:styleId="61">
    <w:name w:val="lzm正文 Char"/>
    <w:link w:val="62"/>
    <w:autoRedefine/>
    <w:qFormat/>
    <w:uiPriority w:val="0"/>
    <w:rPr>
      <w:kern w:val="2"/>
      <w:sz w:val="24"/>
      <w:szCs w:val="22"/>
    </w:rPr>
  </w:style>
  <w:style w:type="paragraph" w:customStyle="1" w:styleId="62">
    <w:name w:val="lzm正文"/>
    <w:basedOn w:val="1"/>
    <w:link w:val="61"/>
    <w:autoRedefine/>
    <w:qFormat/>
    <w:uiPriority w:val="0"/>
    <w:pPr>
      <w:widowControl/>
      <w:spacing w:line="360" w:lineRule="auto"/>
      <w:ind w:firstLine="480" w:firstLineChars="200"/>
      <w:jc w:val="left"/>
    </w:pPr>
    <w:rPr>
      <w:rFonts w:ascii="Times New Roman" w:hAnsi="Times New Roman" w:eastAsia="宋体" w:cs="Times New Roman"/>
      <w:sz w:val="24"/>
    </w:rPr>
  </w:style>
  <w:style w:type="character" w:customStyle="1" w:styleId="63">
    <w:name w:val="标题 1 字符"/>
    <w:basedOn w:val="15"/>
    <w:link w:val="2"/>
    <w:autoRedefine/>
    <w:qFormat/>
    <w:uiPriority w:val="9"/>
    <w:rPr>
      <w:rFonts w:asciiTheme="minorHAnsi" w:hAnsiTheme="minorHAnsi" w:eastAsiaTheme="minorEastAsia" w:cstheme="minorBidi"/>
      <w:b/>
      <w:bCs/>
      <w:kern w:val="44"/>
      <w:sz w:val="44"/>
      <w:szCs w:val="44"/>
    </w:rPr>
  </w:style>
  <w:style w:type="paragraph" w:customStyle="1" w:styleId="64">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65">
    <w:name w:val="附录标识"/>
    <w:basedOn w:val="1"/>
    <w:next w:val="26"/>
    <w:autoRedefine/>
    <w:qFormat/>
    <w:uiPriority w:val="99"/>
    <w:pPr>
      <w:keepNext/>
      <w:widowControl/>
      <w:numPr>
        <w:ilvl w:val="0"/>
        <w:numId w:val="2"/>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66">
    <w:name w:val="附录二级条标题"/>
    <w:basedOn w:val="1"/>
    <w:next w:val="26"/>
    <w:autoRedefine/>
    <w:qFormat/>
    <w:uiPriority w:val="99"/>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67">
    <w:name w:val="附录三级条标题"/>
    <w:basedOn w:val="66"/>
    <w:next w:val="26"/>
    <w:autoRedefine/>
    <w:qFormat/>
    <w:uiPriority w:val="99"/>
    <w:pPr>
      <w:numPr>
        <w:ilvl w:val="4"/>
      </w:numPr>
      <w:outlineLvl w:val="4"/>
    </w:pPr>
  </w:style>
  <w:style w:type="paragraph" w:customStyle="1" w:styleId="68">
    <w:name w:val="附录四级条标题"/>
    <w:basedOn w:val="67"/>
    <w:next w:val="26"/>
    <w:autoRedefine/>
    <w:qFormat/>
    <w:uiPriority w:val="99"/>
    <w:pPr>
      <w:numPr>
        <w:ilvl w:val="5"/>
      </w:numPr>
      <w:outlineLvl w:val="5"/>
    </w:pPr>
  </w:style>
  <w:style w:type="paragraph" w:customStyle="1" w:styleId="69">
    <w:name w:val="附录五级条标题"/>
    <w:basedOn w:val="68"/>
    <w:next w:val="26"/>
    <w:autoRedefine/>
    <w:qFormat/>
    <w:uiPriority w:val="99"/>
    <w:pPr>
      <w:numPr>
        <w:ilvl w:val="6"/>
      </w:numPr>
      <w:outlineLvl w:val="6"/>
    </w:pPr>
  </w:style>
  <w:style w:type="paragraph" w:customStyle="1" w:styleId="70">
    <w:name w:val="附录章标题"/>
    <w:next w:val="26"/>
    <w:autoRedefine/>
    <w:qFormat/>
    <w:uiPriority w:val="99"/>
    <w:pPr>
      <w:numPr>
        <w:ilvl w:val="1"/>
        <w:numId w:val="2"/>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1">
    <w:name w:val="附录一级条标题"/>
    <w:basedOn w:val="70"/>
    <w:next w:val="26"/>
    <w:autoRedefine/>
    <w:qFormat/>
    <w:uiPriority w:val="99"/>
    <w:pPr>
      <w:numPr>
        <w:ilvl w:val="2"/>
      </w:numPr>
      <w:autoSpaceDN w:val="0"/>
      <w:spacing w:beforeLines="50" w:afterLines="50"/>
      <w:outlineLvl w:val="2"/>
    </w:pPr>
  </w:style>
  <w:style w:type="paragraph" w:customStyle="1" w:styleId="72">
    <w:name w:val="MTDisplayEquation"/>
    <w:basedOn w:val="26"/>
    <w:next w:val="1"/>
    <w:link w:val="73"/>
    <w:autoRedefine/>
    <w:qFormat/>
    <w:uiPriority w:val="0"/>
    <w:pPr>
      <w:tabs>
        <w:tab w:val="center" w:pos="4160"/>
        <w:tab w:val="right" w:pos="8300"/>
      </w:tabs>
      <w:ind w:firstLine="0" w:firstLineChars="0"/>
      <w:jc w:val="center"/>
    </w:pPr>
  </w:style>
  <w:style w:type="character" w:customStyle="1" w:styleId="73">
    <w:name w:val="MTDisplayEquation 字符"/>
    <w:basedOn w:val="27"/>
    <w:link w:val="72"/>
    <w:autoRedefine/>
    <w:qFormat/>
    <w:uiPriority w:val="0"/>
    <w:rPr>
      <w:rFonts w:ascii="宋体" w:hAnsi="Times New Roman" w:eastAsia="宋体" w:cs="Times New Roman"/>
      <w:kern w:val="0"/>
      <w:sz w:val="21"/>
      <w:szCs w:val="20"/>
    </w:rPr>
  </w:style>
  <w:style w:type="paragraph" w:customStyle="1" w:styleId="7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FEC6E-2FC1-4C45-836F-776BFE88AE6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1008</Words>
  <Characters>1161</Characters>
  <Lines>37</Lines>
  <Paragraphs>10</Paragraphs>
  <TotalTime>12</TotalTime>
  <ScaleCrop>false</ScaleCrop>
  <LinksUpToDate>false</LinksUpToDate>
  <CharactersWithSpaces>1232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2022-03-13T03:14:00Z</dcterms:created>
  <dc:creator>Administrator</dc:creator>
  <cp:lastModifiedBy>裴一朴</cp:lastModifiedBy>
  <cp:lastPrinted>2022-03-13T03:06:00Z</cp:lastPrinted>
  <dcterms:modified xsi:type="dcterms:W3CDTF">2026-01-22T07:53:34Z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81A91759B75348A9A20AC57B44E3608F_13</vt:lpwstr>
  </property>
  <property fmtid="{D5CDD505-2E9C-101B-9397-08002B2CF9AE}" pid="4" name="KSOTemplateDocerSaveRecord">
    <vt:lpwstr>eyJoZGlkIjoiNzIxMTJkMTEwNzZjNDE1ZmRiZDYzNDg0ZjllYjdkMGEiLCJ1c2VySWQiOiI1Nzg3NTMxNDkifQ==</vt:lpwstr>
  </property>
</Properties>
</file>